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12"/>
        <w:spacing w:line="360" w:lineRule="auto"/>
        <w:rPr>
          <w:rFonts w:asciiTheme="minorEastAsia" w:hAnsiTheme="minorEastAsia" w:eastAsiaTheme="minorEastAsia"/>
          <w:b/>
          <w:bCs/>
          <w:color w:val="000000"/>
          <w:kern w:val="0"/>
          <w:sz w:val="24"/>
          <w:szCs w:val="24"/>
        </w:rPr>
      </w:pPr>
    </w:p>
    <w:p>
      <w:pPr>
        <w:pStyle w:val="12"/>
        <w:spacing w:line="360" w:lineRule="auto"/>
        <w:rPr>
          <w:rFonts w:asciiTheme="minorEastAsia" w:hAnsiTheme="minorEastAsia" w:eastAsiaTheme="minorEastAsia"/>
          <w:b/>
          <w:bCs/>
          <w:color w:val="000000"/>
          <w:kern w:val="0"/>
          <w:sz w:val="24"/>
          <w:szCs w:val="24"/>
        </w:rPr>
      </w:pPr>
    </w:p>
    <w:p>
      <w:pPr>
        <w:pStyle w:val="12"/>
        <w:spacing w:line="360" w:lineRule="auto"/>
        <w:rPr>
          <w:rFonts w:hint="eastAsia" w:asciiTheme="minorEastAsia" w:hAnsiTheme="minorEastAsia" w:eastAsiaTheme="minorEastAsia"/>
          <w:b/>
          <w:bCs/>
          <w:color w:val="000000"/>
          <w:kern w:val="0"/>
          <w:sz w:val="24"/>
          <w:szCs w:val="24"/>
          <w:lang w:val="en-US" w:eastAsia="zh-CN"/>
        </w:rPr>
      </w:pPr>
      <w:r>
        <w:rPr>
          <w:rFonts w:hint="eastAsia" w:asciiTheme="minorEastAsia" w:hAnsiTheme="minorEastAsia" w:eastAsiaTheme="minorEastAsia"/>
          <w:b/>
          <w:bCs/>
          <w:color w:val="000000"/>
          <w:kern w:val="0"/>
          <w:sz w:val="24"/>
          <w:szCs w:val="24"/>
          <w:lang w:val="en-US" w:eastAsia="zh-CN"/>
        </w:rPr>
        <w:t>南京佳顿自动化设备有限公司</w:t>
      </w:r>
    </w:p>
    <w:p>
      <w:pPr>
        <w:pStyle w:val="12"/>
        <w:spacing w:line="360" w:lineRule="auto"/>
        <w:rPr>
          <w:rFonts w:hint="eastAsia" w:asciiTheme="minorEastAsia" w:hAnsiTheme="minorEastAsia" w:eastAsiaTheme="minorEastAsia"/>
          <w:b/>
          <w:bCs/>
          <w:color w:val="000000"/>
          <w:kern w:val="0"/>
          <w:sz w:val="24"/>
          <w:szCs w:val="24"/>
          <w:lang w:val="en-US" w:eastAsia="zh-CN"/>
        </w:rPr>
      </w:pPr>
      <w:r>
        <w:rPr>
          <w:rFonts w:hint="eastAsia" w:asciiTheme="minorEastAsia" w:hAnsiTheme="minorEastAsia" w:eastAsiaTheme="minorEastAsia"/>
          <w:b/>
          <w:bCs/>
          <w:color w:val="000000"/>
          <w:kern w:val="0"/>
          <w:sz w:val="24"/>
          <w:szCs w:val="24"/>
          <w:lang w:val="en-US" w:eastAsia="zh-CN"/>
        </w:rPr>
        <w:t>专业搅拌罐厂家</w:t>
      </w:r>
    </w:p>
    <w:p>
      <w:pPr>
        <w:pStyle w:val="12"/>
        <w:spacing w:line="360" w:lineRule="auto"/>
        <w:rPr>
          <w:rFonts w:hint="eastAsia" w:asciiTheme="minorEastAsia" w:hAnsiTheme="minorEastAsia" w:eastAsiaTheme="minorEastAsia"/>
          <w:b/>
          <w:bCs/>
          <w:color w:val="000000"/>
          <w:kern w:val="0"/>
          <w:sz w:val="24"/>
          <w:szCs w:val="24"/>
          <w:lang w:val="en-US" w:eastAsia="zh-CN"/>
        </w:rPr>
      </w:pPr>
      <w:r>
        <w:rPr>
          <w:rFonts w:hint="eastAsia" w:asciiTheme="minorEastAsia" w:hAnsiTheme="minorEastAsia" w:eastAsiaTheme="minorEastAsia"/>
          <w:b/>
          <w:bCs/>
          <w:color w:val="000000"/>
          <w:kern w:val="0"/>
          <w:sz w:val="24"/>
          <w:szCs w:val="24"/>
          <w:lang w:val="en-US" w:eastAsia="zh-CN"/>
        </w:rPr>
        <w:t>13913888986 V手机同号</w:t>
      </w:r>
      <w:bookmarkStart w:id="36" w:name="_GoBack"/>
      <w:bookmarkEnd w:id="36"/>
    </w:p>
    <w:p>
      <w:pPr>
        <w:pStyle w:val="12"/>
        <w:spacing w:line="360" w:lineRule="auto"/>
        <w:rPr>
          <w:rFonts w:asciiTheme="minorEastAsia" w:hAnsiTheme="minorEastAsia" w:eastAsiaTheme="minorEastAsia"/>
          <w:b/>
          <w:bCs/>
          <w:color w:val="000000"/>
          <w:kern w:val="0"/>
          <w:sz w:val="44"/>
          <w:szCs w:val="44"/>
        </w:rPr>
      </w:pPr>
    </w:p>
    <w:p>
      <w:pPr>
        <w:jc w:val="center"/>
        <w:rPr>
          <w:rFonts w:cs="Times New Roman" w:asciiTheme="minorEastAsia" w:hAnsiTheme="minorEastAsia" w:eastAsiaTheme="minorEastAsia"/>
          <w:b/>
          <w:sz w:val="44"/>
          <w:szCs w:val="44"/>
        </w:rPr>
      </w:pPr>
      <w:r>
        <w:rPr>
          <w:rFonts w:hint="eastAsia" w:cs="Times New Roman" w:asciiTheme="minorEastAsia" w:hAnsiTheme="minorEastAsia" w:eastAsiaTheme="minorEastAsia"/>
          <w:b/>
          <w:sz w:val="44"/>
          <w:szCs w:val="44"/>
        </w:rPr>
        <w:t>500L固定搅拌罐</w:t>
      </w:r>
    </w:p>
    <w:p>
      <w:pPr>
        <w:jc w:val="center"/>
        <w:rPr>
          <w:rFonts w:cs="Times New Roman" w:asciiTheme="minorEastAsia" w:hAnsiTheme="minorEastAsia" w:eastAsiaTheme="minorEastAsia"/>
          <w:b/>
          <w:sz w:val="44"/>
          <w:szCs w:val="44"/>
        </w:rPr>
      </w:pPr>
      <w:r>
        <w:rPr>
          <w:rFonts w:hint="eastAsia" w:cs="Times New Roman" w:asciiTheme="minorEastAsia" w:hAnsiTheme="minorEastAsia" w:eastAsiaTheme="minorEastAsia"/>
          <w:b/>
          <w:sz w:val="44"/>
          <w:szCs w:val="44"/>
        </w:rPr>
        <w:t>用户需求标准（U</w:t>
      </w:r>
      <w:r>
        <w:rPr>
          <w:rFonts w:cs="Times New Roman" w:asciiTheme="minorEastAsia" w:hAnsiTheme="minorEastAsia" w:eastAsiaTheme="minorEastAsia"/>
          <w:b/>
          <w:sz w:val="44"/>
          <w:szCs w:val="44"/>
        </w:rPr>
        <w:t>RS</w:t>
      </w:r>
      <w:r>
        <w:rPr>
          <w:rFonts w:hint="eastAsia" w:cs="Times New Roman" w:asciiTheme="minorEastAsia" w:hAnsiTheme="minorEastAsia" w:eastAsiaTheme="minorEastAsia"/>
          <w:b/>
          <w:sz w:val="44"/>
          <w:szCs w:val="44"/>
        </w:rPr>
        <w:t>）</w:t>
      </w:r>
    </w:p>
    <w:p>
      <w:pPr>
        <w:spacing w:line="360" w:lineRule="auto"/>
        <w:jc w:val="center"/>
        <w:rPr>
          <w:rFonts w:cs="Times New Roman" w:asciiTheme="minorEastAsia" w:hAnsiTheme="minorEastAsia" w:eastAsiaTheme="minorEastAsia"/>
          <w:color w:val="000000"/>
          <w:kern w:val="0"/>
          <w:sz w:val="44"/>
          <w:szCs w:val="44"/>
        </w:rPr>
      </w:pPr>
      <w:r>
        <w:rPr>
          <w:rFonts w:hint="eastAsia" w:cs="Times New Roman" w:asciiTheme="minorEastAsia" w:hAnsiTheme="minorEastAsia" w:eastAsiaTheme="minorEastAsia"/>
          <w:color w:val="333333"/>
          <w:sz w:val="44"/>
          <w:szCs w:val="44"/>
          <w:shd w:val="clear" w:color="auto" w:fill="FFFFFF"/>
        </w:rPr>
        <w:t xml:space="preserve"> </w:t>
      </w:r>
    </w:p>
    <w:p>
      <w:pPr>
        <w:spacing w:line="360" w:lineRule="auto"/>
        <w:jc w:val="center"/>
        <w:rPr>
          <w:rFonts w:cs="Times New Roman" w:asciiTheme="minorEastAsia" w:hAnsiTheme="minorEastAsia" w:eastAsiaTheme="minorEastAsia"/>
          <w:color w:val="000000"/>
          <w:kern w:val="0"/>
        </w:rPr>
      </w:pPr>
    </w:p>
    <w:tbl>
      <w:tblPr>
        <w:tblStyle w:val="19"/>
        <w:tblW w:w="86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80"/>
        <w:gridCol w:w="1984"/>
        <w:gridCol w:w="2193"/>
        <w:gridCol w:w="22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2280" w:type="dxa"/>
            <w:vAlign w:val="center"/>
          </w:tcPr>
          <w:p>
            <w:pPr>
              <w:pStyle w:val="13"/>
              <w:spacing w:line="240" w:lineRule="auto"/>
              <w:rPr>
                <w:rFonts w:asciiTheme="minorEastAsia" w:hAnsiTheme="minorEastAsia" w:eastAsiaTheme="minorEastAsia"/>
                <w:b/>
                <w:szCs w:val="24"/>
              </w:rPr>
            </w:pPr>
            <w:r>
              <w:rPr>
                <w:rFonts w:hint="eastAsia" w:asciiTheme="minorEastAsia" w:hAnsiTheme="minorEastAsia" w:eastAsiaTheme="minorEastAsia"/>
                <w:b/>
                <w:szCs w:val="24"/>
              </w:rPr>
              <w:t>责任人</w:t>
            </w:r>
          </w:p>
        </w:tc>
        <w:tc>
          <w:tcPr>
            <w:tcW w:w="1984" w:type="dxa"/>
            <w:vAlign w:val="center"/>
          </w:tcPr>
          <w:p>
            <w:pPr>
              <w:pStyle w:val="13"/>
              <w:spacing w:line="240" w:lineRule="auto"/>
              <w:rPr>
                <w:rFonts w:asciiTheme="minorEastAsia" w:hAnsiTheme="minorEastAsia" w:eastAsiaTheme="minorEastAsia"/>
                <w:b/>
                <w:szCs w:val="24"/>
              </w:rPr>
            </w:pPr>
            <w:r>
              <w:rPr>
                <w:rFonts w:asciiTheme="minorEastAsia" w:hAnsiTheme="minorEastAsia" w:eastAsiaTheme="minorEastAsia"/>
                <w:b/>
                <w:szCs w:val="24"/>
              </w:rPr>
              <w:t>岗位</w:t>
            </w:r>
          </w:p>
        </w:tc>
        <w:tc>
          <w:tcPr>
            <w:tcW w:w="2193" w:type="dxa"/>
            <w:vAlign w:val="center"/>
          </w:tcPr>
          <w:p>
            <w:pPr>
              <w:pStyle w:val="13"/>
              <w:spacing w:line="240" w:lineRule="auto"/>
              <w:rPr>
                <w:rFonts w:asciiTheme="minorEastAsia" w:hAnsiTheme="minorEastAsia" w:eastAsiaTheme="minorEastAsia"/>
                <w:b/>
                <w:szCs w:val="24"/>
              </w:rPr>
            </w:pPr>
            <w:r>
              <w:rPr>
                <w:rFonts w:asciiTheme="minorEastAsia" w:hAnsiTheme="minorEastAsia" w:eastAsiaTheme="minorEastAsia"/>
                <w:b/>
                <w:szCs w:val="24"/>
              </w:rPr>
              <w:t>签名</w:t>
            </w:r>
          </w:p>
        </w:tc>
        <w:tc>
          <w:tcPr>
            <w:tcW w:w="2201" w:type="dxa"/>
            <w:vAlign w:val="center"/>
          </w:tcPr>
          <w:p>
            <w:pPr>
              <w:pStyle w:val="13"/>
              <w:spacing w:line="240" w:lineRule="auto"/>
              <w:rPr>
                <w:rFonts w:asciiTheme="minorEastAsia" w:hAnsiTheme="minorEastAsia" w:eastAsiaTheme="minorEastAsia"/>
                <w:b/>
                <w:szCs w:val="24"/>
              </w:rPr>
            </w:pPr>
            <w:r>
              <w:rPr>
                <w:rFonts w:asciiTheme="minorEastAsia" w:hAnsiTheme="minorEastAsia" w:eastAsiaTheme="minorEastAsia"/>
                <w:b/>
                <w:szCs w:val="24"/>
              </w:rPr>
              <w:t>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2280" w:type="dxa"/>
            <w:vAlign w:val="center"/>
          </w:tcPr>
          <w:p>
            <w:pPr>
              <w:pStyle w:val="13"/>
              <w:spacing w:line="240" w:lineRule="auto"/>
              <w:rPr>
                <w:rFonts w:asciiTheme="minorEastAsia" w:hAnsiTheme="minorEastAsia" w:eastAsiaTheme="minorEastAsia"/>
                <w:szCs w:val="24"/>
              </w:rPr>
            </w:pPr>
            <w:r>
              <w:rPr>
                <w:rFonts w:asciiTheme="minorEastAsia" w:hAnsiTheme="minorEastAsia" w:eastAsiaTheme="minorEastAsia"/>
                <w:szCs w:val="24"/>
              </w:rPr>
              <w:t>起草人</w:t>
            </w:r>
          </w:p>
        </w:tc>
        <w:tc>
          <w:tcPr>
            <w:tcW w:w="1984" w:type="dxa"/>
            <w:vAlign w:val="center"/>
          </w:tcPr>
          <w:p>
            <w:pPr>
              <w:jc w:val="center"/>
              <w:rPr>
                <w:rFonts w:cs="Times New Roman" w:asciiTheme="minorEastAsia" w:hAnsiTheme="minorEastAsia" w:eastAsiaTheme="minorEastAsia"/>
              </w:rPr>
            </w:pPr>
            <w:r>
              <w:rPr>
                <w:rFonts w:hint="eastAsia" w:asciiTheme="minorEastAsia" w:hAnsiTheme="minorEastAsia" w:eastAsiaTheme="minorEastAsia"/>
              </w:rPr>
              <w:t>工程设备部</w:t>
            </w:r>
            <w:r>
              <w:rPr>
                <w:rFonts w:hint="eastAsia" w:cs="Times New Roman" w:asciiTheme="minorEastAsia" w:hAnsiTheme="minorEastAsia" w:eastAsiaTheme="minorEastAsia"/>
              </w:rPr>
              <w:t>经理</w:t>
            </w:r>
          </w:p>
        </w:tc>
        <w:tc>
          <w:tcPr>
            <w:tcW w:w="2193" w:type="dxa"/>
            <w:vAlign w:val="center"/>
          </w:tcPr>
          <w:p>
            <w:pPr>
              <w:jc w:val="center"/>
              <w:rPr>
                <w:rFonts w:cs="Times New Roman" w:asciiTheme="minorEastAsia" w:hAnsiTheme="minorEastAsia" w:eastAsiaTheme="minorEastAsia"/>
              </w:rPr>
            </w:pPr>
          </w:p>
        </w:tc>
        <w:tc>
          <w:tcPr>
            <w:tcW w:w="2201" w:type="dxa"/>
            <w:vAlign w:val="center"/>
          </w:tcPr>
          <w:p>
            <w:pPr>
              <w:jc w:val="center"/>
              <w:rPr>
                <w:rFonts w:cs="Times New Roman" w:asciiTheme="minorEastAsia" w:hAnsiTheme="minorEastAsia" w:eastAsiaTheme="minor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2280" w:type="dxa"/>
            <w:vAlign w:val="center"/>
          </w:tcPr>
          <w:p>
            <w:pPr>
              <w:pStyle w:val="13"/>
              <w:spacing w:line="240" w:lineRule="auto"/>
              <w:rPr>
                <w:rFonts w:asciiTheme="minorEastAsia" w:hAnsiTheme="minorEastAsia" w:eastAsiaTheme="minorEastAsia"/>
                <w:szCs w:val="24"/>
              </w:rPr>
            </w:pPr>
            <w:r>
              <w:rPr>
                <w:rFonts w:asciiTheme="minorEastAsia" w:hAnsiTheme="minorEastAsia" w:eastAsiaTheme="minorEastAsia"/>
                <w:szCs w:val="24"/>
              </w:rPr>
              <w:t>审核人</w:t>
            </w:r>
          </w:p>
        </w:tc>
        <w:tc>
          <w:tcPr>
            <w:tcW w:w="1984" w:type="dxa"/>
            <w:vAlign w:val="center"/>
          </w:tcPr>
          <w:p>
            <w:pPr>
              <w:jc w:val="center"/>
              <w:rPr>
                <w:rFonts w:cs="Times New Roman" w:asciiTheme="minorEastAsia" w:hAnsiTheme="minorEastAsia" w:eastAsiaTheme="minorEastAsia"/>
              </w:rPr>
            </w:pPr>
            <w:r>
              <w:rPr>
                <w:rFonts w:hint="eastAsia" w:asciiTheme="minorEastAsia" w:hAnsiTheme="minorEastAsia" w:eastAsiaTheme="minorEastAsia"/>
              </w:rPr>
              <w:t>质量保证部</w:t>
            </w:r>
            <w:r>
              <w:rPr>
                <w:rFonts w:hint="eastAsia" w:cs="Times New Roman" w:asciiTheme="minorEastAsia" w:hAnsiTheme="minorEastAsia" w:eastAsiaTheme="minorEastAsia"/>
              </w:rPr>
              <w:t>经理</w:t>
            </w:r>
          </w:p>
        </w:tc>
        <w:tc>
          <w:tcPr>
            <w:tcW w:w="2193" w:type="dxa"/>
            <w:vAlign w:val="center"/>
          </w:tcPr>
          <w:p>
            <w:pPr>
              <w:jc w:val="center"/>
              <w:rPr>
                <w:rFonts w:cs="Times New Roman" w:asciiTheme="minorEastAsia" w:hAnsiTheme="minorEastAsia" w:eastAsiaTheme="minorEastAsia"/>
              </w:rPr>
            </w:pPr>
          </w:p>
        </w:tc>
        <w:tc>
          <w:tcPr>
            <w:tcW w:w="2201" w:type="dxa"/>
            <w:vAlign w:val="center"/>
          </w:tcPr>
          <w:p>
            <w:pPr>
              <w:jc w:val="center"/>
              <w:rPr>
                <w:rFonts w:cs="Times New Roman" w:asciiTheme="minorEastAsia" w:hAnsiTheme="minorEastAsia" w:eastAsiaTheme="minor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2280" w:type="dxa"/>
            <w:vAlign w:val="center"/>
          </w:tcPr>
          <w:p>
            <w:pPr>
              <w:pStyle w:val="13"/>
              <w:spacing w:line="240" w:lineRule="auto"/>
              <w:rPr>
                <w:rFonts w:asciiTheme="minorEastAsia" w:hAnsiTheme="minorEastAsia" w:eastAsiaTheme="minorEastAsia"/>
                <w:szCs w:val="24"/>
              </w:rPr>
            </w:pPr>
            <w:r>
              <w:rPr>
                <w:rFonts w:asciiTheme="minorEastAsia" w:hAnsiTheme="minorEastAsia" w:eastAsiaTheme="minorEastAsia"/>
                <w:szCs w:val="24"/>
              </w:rPr>
              <w:t>批准人</w:t>
            </w:r>
          </w:p>
        </w:tc>
        <w:tc>
          <w:tcPr>
            <w:tcW w:w="1984" w:type="dxa"/>
            <w:vAlign w:val="center"/>
          </w:tcPr>
          <w:p>
            <w:pPr>
              <w:jc w:val="center"/>
              <w:rPr>
                <w:rFonts w:cs="Times New Roman" w:asciiTheme="minorEastAsia" w:hAnsiTheme="minorEastAsia" w:eastAsiaTheme="minorEastAsia"/>
              </w:rPr>
            </w:pPr>
            <w:r>
              <w:rPr>
                <w:rFonts w:hint="eastAsia" w:asciiTheme="minorEastAsia" w:hAnsiTheme="minorEastAsia" w:eastAsiaTheme="minorEastAsia"/>
              </w:rPr>
              <w:t>生产副总</w:t>
            </w:r>
            <w:r>
              <w:rPr>
                <w:rFonts w:hint="eastAsia" w:cs="Times New Roman" w:asciiTheme="minorEastAsia" w:hAnsiTheme="minorEastAsia" w:eastAsiaTheme="minorEastAsia"/>
              </w:rPr>
              <w:t>经理</w:t>
            </w:r>
          </w:p>
        </w:tc>
        <w:tc>
          <w:tcPr>
            <w:tcW w:w="2193" w:type="dxa"/>
            <w:vAlign w:val="center"/>
          </w:tcPr>
          <w:p>
            <w:pPr>
              <w:jc w:val="center"/>
              <w:rPr>
                <w:rFonts w:cs="Times New Roman" w:asciiTheme="minorEastAsia" w:hAnsiTheme="minorEastAsia" w:eastAsiaTheme="minorEastAsia"/>
              </w:rPr>
            </w:pPr>
          </w:p>
        </w:tc>
        <w:tc>
          <w:tcPr>
            <w:tcW w:w="2201" w:type="dxa"/>
            <w:vAlign w:val="center"/>
          </w:tcPr>
          <w:p>
            <w:pPr>
              <w:jc w:val="center"/>
              <w:rPr>
                <w:rFonts w:cs="Times New Roman" w:asciiTheme="minorEastAsia" w:hAnsiTheme="minorEastAsia" w:eastAsiaTheme="minorEastAsia"/>
              </w:rPr>
            </w:pPr>
          </w:p>
        </w:tc>
      </w:tr>
    </w:tbl>
    <w:p>
      <w:pPr>
        <w:rPr>
          <w:rFonts w:cs="Times New Roman" w:asciiTheme="minorEastAsia" w:hAnsiTheme="minorEastAsia" w:eastAsiaTheme="minorEastAsia"/>
          <w:b/>
          <w:bCs/>
        </w:rPr>
      </w:pPr>
      <w:r>
        <w:rPr>
          <w:rFonts w:cs="Times New Roman" w:asciiTheme="minorEastAsia" w:hAnsiTheme="minorEastAsia" w:eastAsiaTheme="minorEastAsia"/>
          <w:b/>
          <w:bCs/>
        </w:rPr>
        <w:t xml:space="preserve">    </w:t>
      </w:r>
    </w:p>
    <w:p>
      <w:pPr>
        <w:numPr>
          <w:ilvl w:val="0"/>
          <w:numId w:val="3"/>
        </w:numPr>
        <w:tabs>
          <w:tab w:val="left" w:pos="284"/>
        </w:tabs>
        <w:spacing w:line="360" w:lineRule="auto"/>
        <w:ind w:left="284" w:hanging="284"/>
        <w:rPr>
          <w:rFonts w:cs="Times New Roman" w:asciiTheme="minorEastAsia" w:hAnsiTheme="minorEastAsia" w:eastAsiaTheme="minorEastAsia"/>
          <w:b/>
          <w:bCs/>
        </w:rPr>
      </w:pPr>
      <w:r>
        <w:rPr>
          <w:rFonts w:cs="Times New Roman" w:asciiTheme="minorEastAsia" w:hAnsiTheme="minorEastAsia" w:eastAsiaTheme="minorEastAsia"/>
          <w:b/>
          <w:bCs/>
        </w:rPr>
        <w:br w:type="page"/>
      </w:r>
      <w:r>
        <w:rPr>
          <w:rFonts w:cs="Times New Roman" w:asciiTheme="minorEastAsia" w:hAnsiTheme="minorEastAsia" w:eastAsiaTheme="minorEastAsia"/>
          <w:b/>
          <w:bCs/>
        </w:rPr>
        <w:t>目的</w:t>
      </w:r>
    </w:p>
    <w:p>
      <w:pPr>
        <w:snapToGrid w:val="0"/>
        <w:spacing w:line="360" w:lineRule="auto"/>
        <w:ind w:firstLine="240" w:firstLineChars="100"/>
        <w:rPr>
          <w:rFonts w:cs="Arial" w:asciiTheme="minorEastAsia" w:hAnsiTheme="minorEastAsia" w:eastAsiaTheme="minorEastAsia"/>
          <w:color w:val="000000"/>
          <w:spacing w:val="5"/>
        </w:rPr>
      </w:pPr>
      <w:r>
        <w:rPr>
          <w:rFonts w:hint="eastAsia" w:cs="Times New Roman" w:asciiTheme="minorEastAsia" w:hAnsiTheme="minorEastAsia" w:eastAsiaTheme="minorEastAsia"/>
          <w:color w:val="000000"/>
        </w:rPr>
        <w:t>本用户需求文件旨在</w:t>
      </w:r>
      <w:r>
        <w:rPr>
          <w:rFonts w:cs="Times New Roman" w:asciiTheme="minorEastAsia" w:hAnsiTheme="minorEastAsia" w:eastAsiaTheme="minorEastAsia"/>
          <w:color w:val="000000"/>
        </w:rPr>
        <w:t>从项目和系统的角度阐述用户的需求，总括了用户对该项目的质量要求及用户对该设备的工作过程及功能的期望，以使其设备供货、安装和服务满足本质量要求。该文件是构建起项目和系统的文件体系的基础，同时也是系统设计和验证的可接受标准的依据。供应商收到此URS，将表明所有的要求应在其技术文件（报价）中体现。设备生产商应在规定的时间内完成并达到本用户需求的设计目标和可接受的质量标准</w:t>
      </w:r>
      <w:r>
        <w:rPr>
          <w:rFonts w:hint="eastAsia" w:asciiTheme="minorEastAsia" w:hAnsiTheme="minorEastAsia" w:eastAsiaTheme="minorEastAsia"/>
        </w:rPr>
        <w:t>。</w:t>
      </w:r>
    </w:p>
    <w:p>
      <w:pPr>
        <w:numPr>
          <w:ilvl w:val="0"/>
          <w:numId w:val="3"/>
        </w:numPr>
        <w:tabs>
          <w:tab w:val="left" w:pos="284"/>
        </w:tabs>
        <w:spacing w:line="360" w:lineRule="auto"/>
        <w:ind w:left="284" w:hanging="284"/>
        <w:rPr>
          <w:rFonts w:cs="Times New Roman" w:asciiTheme="minorEastAsia" w:hAnsiTheme="minorEastAsia" w:eastAsiaTheme="minorEastAsia"/>
          <w:b/>
          <w:bCs/>
        </w:rPr>
      </w:pPr>
      <w:r>
        <w:rPr>
          <w:rFonts w:cs="Times New Roman" w:asciiTheme="minorEastAsia" w:hAnsiTheme="minorEastAsia" w:eastAsiaTheme="minorEastAsia"/>
          <w:b/>
        </w:rPr>
        <w:t>适用范围</w:t>
      </w:r>
    </w:p>
    <w:p>
      <w:pPr>
        <w:adjustRightInd w:val="0"/>
        <w:snapToGrid w:val="0"/>
        <w:spacing w:line="360" w:lineRule="auto"/>
        <w:ind w:firstLine="240" w:firstLineChars="100"/>
        <w:rPr>
          <w:rFonts w:cs="Times New Roman" w:asciiTheme="minorEastAsia" w:hAnsiTheme="minorEastAsia" w:eastAsiaTheme="minorEastAsia"/>
          <w:color w:val="000000"/>
          <w:kern w:val="0"/>
        </w:rPr>
      </w:pPr>
      <w:r>
        <w:rPr>
          <w:rFonts w:cs="Times New Roman" w:asciiTheme="minorEastAsia" w:hAnsiTheme="minorEastAsia" w:eastAsiaTheme="minorEastAsia"/>
        </w:rPr>
        <w:t>本</w:t>
      </w:r>
      <w:r>
        <w:rPr>
          <w:rFonts w:hint="eastAsia" w:cs="Times New Roman" w:asciiTheme="minorEastAsia" w:hAnsiTheme="minorEastAsia" w:eastAsiaTheme="minorEastAsia"/>
        </w:rPr>
        <w:t>用户需求</w:t>
      </w:r>
      <w:r>
        <w:rPr>
          <w:rFonts w:cs="Times New Roman" w:asciiTheme="minorEastAsia" w:hAnsiTheme="minorEastAsia" w:eastAsiaTheme="minorEastAsia"/>
        </w:rPr>
        <w:t>文件</w:t>
      </w:r>
      <w:r>
        <w:rPr>
          <w:rFonts w:hint="eastAsia" w:cs="Times New Roman" w:asciiTheme="minorEastAsia" w:hAnsiTheme="minorEastAsia" w:eastAsiaTheme="minorEastAsia"/>
        </w:rPr>
        <w:t>是对</w:t>
      </w:r>
      <w:r>
        <w:rPr>
          <w:rFonts w:cs="Times New Roman" w:asciiTheme="minorEastAsia" w:hAnsiTheme="minorEastAsia" w:eastAsiaTheme="minorEastAsia"/>
        </w:rPr>
        <w:t>本公司</w:t>
      </w:r>
      <w:r>
        <w:rPr>
          <w:rFonts w:hint="eastAsia" w:cs="Times New Roman" w:asciiTheme="minorEastAsia" w:hAnsiTheme="minorEastAsia" w:eastAsiaTheme="minorEastAsia"/>
        </w:rPr>
        <w:t>生产所需500L固定搅拌罐的选型、购买、安装、检查、测试、调试、运行、操作、维护、验证、文件和交付的说明和</w:t>
      </w:r>
      <w:r>
        <w:rPr>
          <w:rFonts w:cs="Times New Roman" w:asciiTheme="minorEastAsia" w:hAnsiTheme="minorEastAsia" w:eastAsiaTheme="minorEastAsia"/>
        </w:rPr>
        <w:t>最低要求。</w:t>
      </w:r>
      <w:r>
        <w:rPr>
          <w:rFonts w:asciiTheme="minorEastAsia" w:hAnsiTheme="minorEastAsia" w:eastAsiaTheme="minorEastAsia"/>
        </w:rPr>
        <w:t>本URS还包括对</w:t>
      </w:r>
      <w:r>
        <w:rPr>
          <w:rFonts w:hint="eastAsia" w:asciiTheme="minorEastAsia" w:hAnsiTheme="minorEastAsia" w:eastAsiaTheme="minorEastAsia"/>
        </w:rPr>
        <w:t>固定搅拌罐的</w:t>
      </w:r>
      <w:r>
        <w:rPr>
          <w:rFonts w:asciiTheme="minorEastAsia" w:hAnsiTheme="minorEastAsia" w:eastAsiaTheme="minorEastAsia"/>
        </w:rPr>
        <w:t>基本技术要求、工艺要求、卫生要求、安全要求、环境要求、自动化要求、规范符合性要求。</w:t>
      </w:r>
      <w:r>
        <w:rPr>
          <w:rFonts w:cs="Times New Roman" w:asciiTheme="minorEastAsia" w:hAnsiTheme="minorEastAsia" w:eastAsiaTheme="minorEastAsia"/>
          <w:color w:val="000000"/>
        </w:rPr>
        <w:t>供应商应以URS</w:t>
      </w:r>
      <w:r>
        <w:rPr>
          <w:rFonts w:cs="Times New Roman" w:asciiTheme="minorEastAsia" w:hAnsiTheme="minorEastAsia" w:eastAsiaTheme="minorEastAsia"/>
          <w:color w:val="000000"/>
          <w:kern w:val="0"/>
        </w:rPr>
        <w:t>将作为详细设计以及报价的基础。供应商在设计、制造、组装时必须要按照URS来执行。</w:t>
      </w:r>
    </w:p>
    <w:p>
      <w:pPr>
        <w:adjustRightInd w:val="0"/>
        <w:snapToGrid w:val="0"/>
        <w:spacing w:line="360" w:lineRule="auto"/>
        <w:ind w:firstLine="240" w:firstLineChars="100"/>
        <w:rPr>
          <w:rFonts w:cs="Times New Roman" w:asciiTheme="minorEastAsia" w:hAnsiTheme="minorEastAsia" w:eastAsiaTheme="minorEastAsia"/>
        </w:rPr>
      </w:pPr>
      <w:r>
        <w:rPr>
          <w:rFonts w:hint="eastAsia" w:cs="Times New Roman" w:asciiTheme="minorEastAsia" w:hAnsiTheme="minorEastAsia" w:eastAsiaTheme="minorEastAsia"/>
          <w:color w:val="000000"/>
          <w:kern w:val="0"/>
        </w:rPr>
        <w:t>本设备适用于凝胶的配制、搅拌混合、灭菌。</w:t>
      </w:r>
    </w:p>
    <w:p>
      <w:pPr>
        <w:numPr>
          <w:ilvl w:val="0"/>
          <w:numId w:val="3"/>
        </w:numPr>
        <w:tabs>
          <w:tab w:val="left" w:pos="284"/>
        </w:tabs>
        <w:spacing w:line="360" w:lineRule="auto"/>
        <w:ind w:left="284" w:hanging="284"/>
        <w:rPr>
          <w:rFonts w:cs="Times New Roman" w:asciiTheme="minorEastAsia" w:hAnsiTheme="minorEastAsia" w:eastAsiaTheme="minorEastAsia"/>
          <w:b/>
          <w:bCs/>
        </w:rPr>
      </w:pPr>
      <w:r>
        <w:rPr>
          <w:rFonts w:cs="Times New Roman" w:asciiTheme="minorEastAsia" w:hAnsiTheme="minorEastAsia" w:eastAsiaTheme="minorEastAsia"/>
          <w:b/>
          <w:bCs/>
        </w:rPr>
        <w:t>职责</w:t>
      </w:r>
    </w:p>
    <w:p>
      <w:pPr>
        <w:numPr>
          <w:ilvl w:val="1"/>
          <w:numId w:val="3"/>
        </w:numPr>
        <w:tabs>
          <w:tab w:val="left" w:pos="284"/>
        </w:tabs>
        <w:spacing w:line="360" w:lineRule="auto"/>
        <w:ind w:left="0" w:firstLine="0"/>
        <w:rPr>
          <w:rFonts w:cs="Arial" w:asciiTheme="minorEastAsia" w:hAnsiTheme="minorEastAsia" w:eastAsiaTheme="minorEastAsia"/>
        </w:rPr>
      </w:pPr>
      <w:r>
        <w:rPr>
          <w:rFonts w:hint="eastAsia" w:cs="Arial" w:asciiTheme="minorEastAsia" w:hAnsiTheme="minorEastAsia" w:eastAsiaTheme="minorEastAsia"/>
        </w:rPr>
        <w:t>工程设备部</w:t>
      </w:r>
      <w:r>
        <w:rPr>
          <w:rFonts w:cs="Arial" w:asciiTheme="minorEastAsia" w:hAnsiTheme="minorEastAsia" w:eastAsiaTheme="minorEastAsia"/>
        </w:rPr>
        <w:t>：负责本规程的起草、修订、审核、培训、执行和监督，负责设备验收文件的整理与存档</w:t>
      </w:r>
      <w:r>
        <w:rPr>
          <w:rFonts w:hint="eastAsia" w:cs="Arial" w:asciiTheme="minorEastAsia" w:hAnsiTheme="minorEastAsia" w:eastAsiaTheme="minorEastAsia"/>
        </w:rPr>
        <w:t>。</w:t>
      </w:r>
    </w:p>
    <w:p>
      <w:pPr>
        <w:numPr>
          <w:ilvl w:val="1"/>
          <w:numId w:val="3"/>
        </w:numPr>
        <w:tabs>
          <w:tab w:val="left" w:pos="284"/>
        </w:tabs>
        <w:spacing w:line="360" w:lineRule="auto"/>
        <w:ind w:left="0" w:firstLine="0"/>
        <w:rPr>
          <w:rFonts w:cs="Times New Roman" w:asciiTheme="minorEastAsia" w:hAnsiTheme="minorEastAsia" w:eastAsiaTheme="minorEastAsia"/>
        </w:rPr>
      </w:pPr>
      <w:r>
        <w:rPr>
          <w:rFonts w:hint="eastAsia" w:cs="Times New Roman" w:asciiTheme="minorEastAsia" w:hAnsiTheme="minorEastAsia" w:eastAsiaTheme="minorEastAsia"/>
        </w:rPr>
        <w:t>生产部</w:t>
      </w:r>
      <w:r>
        <w:rPr>
          <w:rFonts w:cs="Times New Roman" w:asciiTheme="minorEastAsia" w:hAnsiTheme="minorEastAsia" w:eastAsiaTheme="minorEastAsia"/>
        </w:rPr>
        <w:t>：配合厂家安装调试，编写设备SOP并严格按照本程序实行设备的验收。</w:t>
      </w:r>
    </w:p>
    <w:p>
      <w:pPr>
        <w:numPr>
          <w:ilvl w:val="1"/>
          <w:numId w:val="3"/>
        </w:numPr>
        <w:tabs>
          <w:tab w:val="left" w:pos="284"/>
        </w:tabs>
        <w:spacing w:line="360" w:lineRule="auto"/>
        <w:ind w:left="0" w:firstLine="0"/>
        <w:rPr>
          <w:rFonts w:cs="Times New Roman" w:asciiTheme="minorEastAsia" w:hAnsiTheme="minorEastAsia" w:eastAsiaTheme="minorEastAsia"/>
          <w:b/>
        </w:rPr>
      </w:pPr>
      <w:r>
        <w:rPr>
          <w:rFonts w:cs="Arial" w:asciiTheme="minorEastAsia" w:hAnsiTheme="minorEastAsia" w:eastAsiaTheme="minorEastAsia"/>
        </w:rPr>
        <w:t>质量保证部：监督各部门严格按照本规程执行</w:t>
      </w:r>
      <w:r>
        <w:rPr>
          <w:rFonts w:hint="eastAsia" w:asciiTheme="minorEastAsia" w:hAnsiTheme="minorEastAsia" w:eastAsiaTheme="minorEastAsia"/>
          <w:spacing w:val="-2"/>
        </w:rPr>
        <w:t>。</w:t>
      </w:r>
    </w:p>
    <w:p>
      <w:pPr>
        <w:numPr>
          <w:ilvl w:val="0"/>
          <w:numId w:val="3"/>
        </w:numPr>
        <w:tabs>
          <w:tab w:val="left" w:pos="284"/>
        </w:tabs>
        <w:spacing w:line="360" w:lineRule="auto"/>
        <w:ind w:left="284" w:hanging="284" w:hangingChars="118"/>
        <w:rPr>
          <w:rFonts w:cs="Times New Roman" w:asciiTheme="minorEastAsia" w:hAnsiTheme="minorEastAsia" w:eastAsiaTheme="minorEastAsia"/>
          <w:b/>
          <w:bCs/>
        </w:rPr>
      </w:pPr>
      <w:r>
        <w:rPr>
          <w:rFonts w:cs="Times New Roman" w:asciiTheme="minorEastAsia" w:hAnsiTheme="minorEastAsia" w:eastAsiaTheme="minorEastAsia"/>
          <w:b/>
          <w:bCs/>
        </w:rPr>
        <w:t>内容</w:t>
      </w:r>
    </w:p>
    <w:p>
      <w:pPr>
        <w:numPr>
          <w:ilvl w:val="1"/>
          <w:numId w:val="3"/>
        </w:numPr>
        <w:tabs>
          <w:tab w:val="left" w:pos="284"/>
        </w:tabs>
        <w:spacing w:line="360" w:lineRule="auto"/>
        <w:ind w:left="0" w:firstLine="0"/>
        <w:rPr>
          <w:rFonts w:asciiTheme="minorEastAsia" w:hAnsiTheme="minorEastAsia" w:eastAsiaTheme="minorEastAsia"/>
          <w:color w:val="000000"/>
        </w:rPr>
      </w:pPr>
      <w:r>
        <w:rPr>
          <w:rFonts w:asciiTheme="minorEastAsia" w:hAnsiTheme="minorEastAsia" w:eastAsiaTheme="minorEastAsia"/>
          <w:color w:val="000000"/>
        </w:rPr>
        <w:t>供</w:t>
      </w:r>
      <w:r>
        <w:rPr>
          <w:rFonts w:hint="eastAsia" w:asciiTheme="minorEastAsia" w:hAnsiTheme="minorEastAsia" w:eastAsiaTheme="minorEastAsia"/>
          <w:color w:val="000000"/>
        </w:rPr>
        <w:t>货范围：供货设备名称及数量</w:t>
      </w:r>
    </w:p>
    <w:tbl>
      <w:tblPr>
        <w:tblStyle w:val="19"/>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426"/>
        <w:gridCol w:w="1300"/>
        <w:gridCol w:w="1400"/>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序号</w:t>
            </w:r>
          </w:p>
        </w:tc>
        <w:tc>
          <w:tcPr>
            <w:tcW w:w="2426"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设备名称</w:t>
            </w:r>
          </w:p>
        </w:tc>
        <w:tc>
          <w:tcPr>
            <w:tcW w:w="1300"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规格型号</w:t>
            </w:r>
          </w:p>
        </w:tc>
        <w:tc>
          <w:tcPr>
            <w:tcW w:w="1400"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数量</w:t>
            </w:r>
          </w:p>
        </w:tc>
        <w:tc>
          <w:tcPr>
            <w:tcW w:w="3874"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1</w:t>
            </w:r>
          </w:p>
        </w:tc>
        <w:tc>
          <w:tcPr>
            <w:tcW w:w="2426"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500L固定搅拌罐</w:t>
            </w:r>
          </w:p>
        </w:tc>
        <w:tc>
          <w:tcPr>
            <w:tcW w:w="1300" w:type="dxa"/>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500L</w:t>
            </w:r>
          </w:p>
        </w:tc>
        <w:tc>
          <w:tcPr>
            <w:tcW w:w="1400"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1台</w:t>
            </w:r>
          </w:p>
        </w:tc>
        <w:tc>
          <w:tcPr>
            <w:tcW w:w="3874" w:type="dxa"/>
            <w:vAlign w:val="center"/>
          </w:tcPr>
          <w:p>
            <w:pPr>
              <w:tabs>
                <w:tab w:val="left" w:pos="284"/>
              </w:tabs>
              <w:spacing w:line="360" w:lineRule="auto"/>
              <w:rPr>
                <w:rFonts w:asciiTheme="minorEastAsia" w:hAnsiTheme="minorEastAsia" w:eastAsiaTheme="minorEastAsia"/>
                <w:bCs/>
              </w:rPr>
            </w:pPr>
            <w:r>
              <w:rPr>
                <w:rFonts w:asciiTheme="minorEastAsia" w:hAnsiTheme="minorEastAsia" w:eastAsiaTheme="minorEastAsia"/>
                <w:color w:val="000000"/>
              </w:rPr>
              <w:t>提供</w:t>
            </w:r>
            <w:r>
              <w:rPr>
                <w:rFonts w:hint="eastAsia" w:asciiTheme="minorEastAsia" w:hAnsiTheme="minorEastAsia" w:eastAsiaTheme="minorEastAsia"/>
                <w:color w:val="000000"/>
              </w:rPr>
              <w:t>固定搅拌罐</w:t>
            </w:r>
            <w:r>
              <w:rPr>
                <w:rFonts w:asciiTheme="minorEastAsia" w:hAnsiTheme="minorEastAsia" w:eastAsiaTheme="minorEastAsia"/>
                <w:spacing w:val="-3"/>
                <w:lang w:val="en-GB"/>
              </w:rPr>
              <w:t>相关</w:t>
            </w:r>
            <w:r>
              <w:rPr>
                <w:rFonts w:asciiTheme="minorEastAsia" w:hAnsiTheme="minorEastAsia" w:eastAsiaTheme="minorEastAsia"/>
                <w:color w:val="000000"/>
              </w:rPr>
              <w:t>的设计原理图、电气系统图；施工安装、调试和验证，并提供相应的文件</w:t>
            </w:r>
            <w:r>
              <w:rPr>
                <w:rFonts w:hint="eastAsia" w:asciiTheme="minorEastAsia" w:hAnsiTheme="minorEastAsia" w:eastAsiaTheme="minorEastAsia"/>
                <w:color w:val="000000"/>
              </w:rPr>
              <w:t>。</w:t>
            </w:r>
          </w:p>
        </w:tc>
      </w:tr>
    </w:tbl>
    <w:p>
      <w:pPr>
        <w:numPr>
          <w:ilvl w:val="1"/>
          <w:numId w:val="3"/>
        </w:numPr>
        <w:tabs>
          <w:tab w:val="left" w:pos="284"/>
        </w:tabs>
        <w:spacing w:line="360" w:lineRule="auto"/>
        <w:ind w:left="0" w:firstLine="0"/>
        <w:rPr>
          <w:rFonts w:cs="Times New Roman" w:asciiTheme="minorEastAsia" w:hAnsiTheme="minorEastAsia" w:eastAsiaTheme="minorEastAsia"/>
          <w:bCs/>
        </w:rPr>
      </w:pPr>
      <w:r>
        <w:rPr>
          <w:rFonts w:asciiTheme="minorEastAsia" w:hAnsiTheme="minorEastAsia" w:eastAsiaTheme="minorEastAsia"/>
          <w:color w:val="000000"/>
        </w:rPr>
        <w:t>项目标准</w:t>
      </w:r>
    </w:p>
    <w:p>
      <w:pPr>
        <w:spacing w:line="360" w:lineRule="auto"/>
        <w:ind w:firstLine="240" w:firstLineChars="10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《药品生产质量管理规范(GMP)(2010修订)》（卫生部令第79号）</w:t>
      </w:r>
    </w:p>
    <w:p>
      <w:pPr>
        <w:pStyle w:val="44"/>
        <w:spacing w:line="360" w:lineRule="auto"/>
        <w:ind w:left="425" w:firstLine="0" w:firstLineChars="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GB20021-2004中华人民共和国制药机械行业标准</w:t>
      </w:r>
    </w:p>
    <w:p>
      <w:pPr>
        <w:pStyle w:val="44"/>
        <w:spacing w:line="360" w:lineRule="auto"/>
        <w:ind w:left="425" w:firstLine="0" w:firstLineChars="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GEP良好工程管理规范</w:t>
      </w:r>
    </w:p>
    <w:p>
      <w:pPr>
        <w:pStyle w:val="44"/>
        <w:spacing w:line="360" w:lineRule="auto"/>
        <w:ind w:left="425" w:firstLine="0" w:firstLineChars="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GBT28671—2012制药机械〔设备）验证导则</w:t>
      </w:r>
    </w:p>
    <w:p>
      <w:pPr>
        <w:pStyle w:val="44"/>
        <w:autoSpaceDN w:val="0"/>
        <w:spacing w:line="360" w:lineRule="auto"/>
        <w:ind w:left="425" w:firstLine="0" w:firstLineChars="0"/>
        <w:jc w:val="left"/>
        <w:rPr>
          <w:rFonts w:cs="Times New Roman" w:asciiTheme="minorEastAsia" w:hAnsiTheme="minorEastAsia" w:eastAsiaTheme="minorEastAsia"/>
          <w:kern w:val="0"/>
        </w:rPr>
      </w:pPr>
      <w:r>
        <w:rPr>
          <w:rFonts w:cs="Times New Roman" w:asciiTheme="minorEastAsia" w:hAnsiTheme="minorEastAsia" w:eastAsiaTheme="minorEastAsia"/>
          <w:kern w:val="0"/>
        </w:rPr>
        <w:t>GB/T8196-2003机械设计防护罩安全要求</w:t>
      </w:r>
    </w:p>
    <w:p>
      <w:pPr>
        <w:pStyle w:val="44"/>
        <w:tabs>
          <w:tab w:val="left" w:pos="284"/>
        </w:tabs>
        <w:spacing w:line="360" w:lineRule="auto"/>
        <w:ind w:left="425" w:firstLine="0" w:firstLineChars="0"/>
        <w:rPr>
          <w:rFonts w:cs="Times New Roman" w:asciiTheme="minorEastAsia" w:hAnsiTheme="minorEastAsia" w:eastAsiaTheme="minorEastAsia"/>
          <w:color w:val="000000"/>
        </w:rPr>
      </w:pPr>
      <w:r>
        <w:rPr>
          <w:rFonts w:cs="Times New Roman" w:asciiTheme="minorEastAsia" w:hAnsiTheme="minorEastAsia" w:eastAsiaTheme="minorEastAsia"/>
          <w:color w:val="000000"/>
        </w:rPr>
        <w:t>GB－52261－2002机械安全机械电气设备第一部分：通用技术条件</w:t>
      </w:r>
    </w:p>
    <w:p>
      <w:pPr>
        <w:widowControl/>
        <w:spacing w:line="360" w:lineRule="auto"/>
        <w:ind w:firstLine="360" w:firstLineChars="15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GB50231-98机械设备安装工程施工及验收通用规范</w:t>
      </w:r>
    </w:p>
    <w:p>
      <w:pPr>
        <w:tabs>
          <w:tab w:val="left" w:pos="284"/>
        </w:tabs>
        <w:spacing w:line="360" w:lineRule="auto"/>
        <w:ind w:firstLine="240" w:firstLineChars="100"/>
        <w:rPr>
          <w:rFonts w:asciiTheme="minorEastAsia" w:hAnsiTheme="minorEastAsia" w:eastAsiaTheme="minorEastAsia"/>
          <w:color w:val="000000"/>
        </w:rPr>
      </w:pPr>
      <w:r>
        <w:rPr>
          <w:rFonts w:cs="Times New Roman" w:asciiTheme="minorEastAsia" w:hAnsiTheme="minorEastAsia" w:eastAsiaTheme="minorEastAsia"/>
          <w:color w:val="000000"/>
        </w:rPr>
        <w:t xml:space="preserve"> GB50054-1995低压配电设计</w:t>
      </w:r>
      <w:r>
        <w:rPr>
          <w:rFonts w:asciiTheme="minorEastAsia" w:hAnsiTheme="minorEastAsia" w:eastAsiaTheme="minorEastAsia"/>
          <w:color w:val="000000"/>
        </w:rPr>
        <w:t>规范</w:t>
      </w:r>
    </w:p>
    <w:p>
      <w:pPr>
        <w:tabs>
          <w:tab w:val="left" w:pos="284"/>
        </w:tabs>
        <w:spacing w:line="360" w:lineRule="auto"/>
        <w:ind w:firstLine="240" w:firstLineChars="100"/>
        <w:rPr>
          <w:rFonts w:asciiTheme="minorEastAsia" w:hAnsiTheme="minorEastAsia" w:eastAsiaTheme="minorEastAsia"/>
        </w:rPr>
      </w:pPr>
      <w:r>
        <w:rPr>
          <w:rFonts w:asciiTheme="minorEastAsia" w:hAnsiTheme="minorEastAsia" w:eastAsiaTheme="minorEastAsia"/>
        </w:rPr>
        <w:t>《钢制压力容器标准》（GB 150—2011）</w:t>
      </w:r>
    </w:p>
    <w:p>
      <w:pPr>
        <w:pStyle w:val="54"/>
        <w:widowControl/>
        <w:autoSpaceDN w:val="0"/>
        <w:spacing w:before="0" w:line="360" w:lineRule="auto"/>
        <w:ind w:firstLine="480" w:firstLineChars="200"/>
        <w:jc w:val="left"/>
        <w:rPr>
          <w:rFonts w:asciiTheme="minorEastAsia" w:hAnsiTheme="minorEastAsia" w:eastAsiaTheme="minorEastAsia"/>
          <w:color w:val="000000"/>
          <w:szCs w:val="24"/>
          <w:lang w:eastAsia="zh-CN"/>
        </w:rPr>
      </w:pPr>
      <w:r>
        <w:rPr>
          <w:rFonts w:asciiTheme="minorEastAsia" w:hAnsiTheme="minorEastAsia" w:eastAsiaTheme="minorEastAsia"/>
          <w:szCs w:val="24"/>
          <w:lang w:eastAsia="zh-CN"/>
        </w:rPr>
        <w:t>机械防护安全要求GB 12265.1－1997</w:t>
      </w:r>
    </w:p>
    <w:p>
      <w:pPr>
        <w:tabs>
          <w:tab w:val="left" w:pos="284"/>
        </w:tabs>
        <w:spacing w:line="360" w:lineRule="auto"/>
        <w:ind w:firstLine="240" w:firstLineChars="100"/>
        <w:rPr>
          <w:rFonts w:asciiTheme="minorEastAsia" w:hAnsiTheme="minorEastAsia" w:eastAsiaTheme="minorEastAsia"/>
          <w:color w:val="000000"/>
        </w:rPr>
      </w:pPr>
      <w:r>
        <w:rPr>
          <w:rFonts w:hint="eastAsia" w:asciiTheme="minorEastAsia" w:hAnsiTheme="minorEastAsia" w:eastAsiaTheme="minorEastAsia"/>
          <w:color w:val="000000"/>
        </w:rPr>
        <w:t xml:space="preserve"> </w:t>
      </w:r>
      <w:r>
        <w:rPr>
          <w:rFonts w:asciiTheme="minorEastAsia" w:hAnsiTheme="minorEastAsia" w:eastAsiaTheme="minorEastAsia"/>
          <w:color w:val="000000"/>
        </w:rPr>
        <w:t xml:space="preserve"> </w:t>
      </w:r>
      <w:r>
        <w:rPr>
          <w:rFonts w:asciiTheme="minorEastAsia" w:hAnsiTheme="minorEastAsia" w:eastAsiaTheme="minorEastAsia"/>
        </w:rPr>
        <w:t>中国安全环保标准（USP）</w:t>
      </w:r>
    </w:p>
    <w:p>
      <w:pPr>
        <w:numPr>
          <w:ilvl w:val="1"/>
          <w:numId w:val="3"/>
        </w:numPr>
        <w:tabs>
          <w:tab w:val="left" w:pos="284"/>
        </w:tabs>
        <w:spacing w:line="360" w:lineRule="auto"/>
        <w:ind w:left="0" w:firstLine="0"/>
        <w:rPr>
          <w:rFonts w:asciiTheme="minorEastAsia" w:hAnsiTheme="minorEastAsia" w:eastAsiaTheme="minorEastAsia"/>
          <w:color w:val="000000"/>
        </w:rPr>
      </w:pPr>
      <w:r>
        <w:rPr>
          <w:rFonts w:asciiTheme="minorEastAsia" w:hAnsiTheme="minorEastAsia" w:eastAsiaTheme="minorEastAsia"/>
          <w:color w:val="000000"/>
        </w:rPr>
        <w:t>缩略语及术语</w:t>
      </w:r>
    </w:p>
    <w:tbl>
      <w:tblPr>
        <w:tblStyle w:val="19"/>
        <w:tblW w:w="885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6"/>
        <w:gridCol w:w="4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术  语</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定  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0" w:name="_Toc341794750"/>
            <w:r>
              <w:rPr>
                <w:rFonts w:cs="Times New Roman" w:asciiTheme="minorEastAsia" w:hAnsiTheme="minorEastAsia" w:eastAsiaTheme="minorEastAsia"/>
                <w:color w:val="000000"/>
              </w:rPr>
              <w:t>GMP</w:t>
            </w:r>
            <w:bookmarkEnd w:id="0"/>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药品生产质量管理规范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URS</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用户需求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1" w:name="_Toc410197034"/>
            <w:bookmarkStart w:id="2" w:name="_Toc410204635"/>
            <w:bookmarkStart w:id="3" w:name="_Toc410197149"/>
            <w:r>
              <w:rPr>
                <w:rFonts w:cs="Times New Roman" w:asciiTheme="minorEastAsia" w:hAnsiTheme="minorEastAsia" w:eastAsiaTheme="minorEastAsia"/>
                <w:color w:val="000000"/>
              </w:rPr>
              <w:t>SAT</w:t>
            </w:r>
            <w:bookmarkEnd w:id="1"/>
            <w:bookmarkEnd w:id="2"/>
            <w:bookmarkEnd w:id="3"/>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现场验收测试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FAT</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4" w:name="_Toc410116881"/>
            <w:bookmarkStart w:id="5" w:name="_Toc410197035"/>
            <w:bookmarkStart w:id="6" w:name="_Toc410197150"/>
            <w:bookmarkStart w:id="7" w:name="_Toc410204636"/>
            <w:bookmarkStart w:id="8" w:name="_Toc341794752"/>
            <w:r>
              <w:rPr>
                <w:rFonts w:cs="Times New Roman" w:asciiTheme="minorEastAsia" w:hAnsiTheme="minorEastAsia" w:eastAsiaTheme="minorEastAsia"/>
                <w:color w:val="000000"/>
              </w:rPr>
              <w:t>工厂验收测试</w:t>
            </w:r>
            <w:bookmarkEnd w:id="4"/>
            <w:bookmarkEnd w:id="5"/>
            <w:bookmarkEnd w:id="6"/>
            <w:bookmarkEnd w:id="7"/>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9" w:name="_Toc410197036"/>
            <w:bookmarkStart w:id="10" w:name="_Toc410197151"/>
            <w:bookmarkStart w:id="11" w:name="_Toc410116882"/>
            <w:bookmarkStart w:id="12" w:name="_Toc410204637"/>
            <w:bookmarkStart w:id="13" w:name="_Toc341794754"/>
            <w:r>
              <w:rPr>
                <w:rFonts w:cs="Times New Roman" w:asciiTheme="minorEastAsia" w:hAnsiTheme="minorEastAsia" w:eastAsiaTheme="minorEastAsia"/>
                <w:color w:val="000000"/>
              </w:rPr>
              <w:t>DQ</w:t>
            </w:r>
            <w:bookmarkEnd w:id="9"/>
            <w:bookmarkEnd w:id="10"/>
            <w:bookmarkEnd w:id="11"/>
            <w:bookmarkEnd w:id="12"/>
            <w:bookmarkEnd w:id="13"/>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设计确认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14" w:name="_Toc410204638"/>
            <w:bookmarkStart w:id="15" w:name="_Toc410197152"/>
            <w:bookmarkStart w:id="16" w:name="_Toc410197037"/>
            <w:bookmarkStart w:id="17" w:name="_Toc410116883"/>
            <w:bookmarkStart w:id="18" w:name="_Toc341794755"/>
            <w:r>
              <w:rPr>
                <w:rFonts w:cs="Times New Roman" w:asciiTheme="minorEastAsia" w:hAnsiTheme="minorEastAsia" w:eastAsiaTheme="minorEastAsia"/>
                <w:color w:val="000000"/>
              </w:rPr>
              <w:t>IQ</w:t>
            </w:r>
            <w:bookmarkEnd w:id="14"/>
            <w:bookmarkEnd w:id="15"/>
            <w:bookmarkEnd w:id="16"/>
            <w:bookmarkEnd w:id="17"/>
            <w:bookmarkEnd w:id="18"/>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安装确认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19" w:name="_Toc341794756"/>
            <w:bookmarkStart w:id="20" w:name="_Toc410116884"/>
            <w:bookmarkStart w:id="21" w:name="_Toc410197153"/>
            <w:bookmarkStart w:id="22" w:name="_Toc410197038"/>
            <w:bookmarkStart w:id="23" w:name="_Toc410204639"/>
            <w:r>
              <w:rPr>
                <w:rFonts w:cs="Times New Roman" w:asciiTheme="minorEastAsia" w:hAnsiTheme="minorEastAsia" w:eastAsiaTheme="minorEastAsia"/>
                <w:color w:val="000000"/>
              </w:rPr>
              <w:t>OQ</w:t>
            </w:r>
            <w:bookmarkEnd w:id="19"/>
            <w:bookmarkEnd w:id="20"/>
            <w:bookmarkEnd w:id="21"/>
            <w:bookmarkEnd w:id="22"/>
            <w:bookmarkEnd w:id="23"/>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运行确认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24" w:name="_Toc410116885"/>
            <w:bookmarkStart w:id="25" w:name="_Toc410197154"/>
            <w:bookmarkStart w:id="26" w:name="_Toc410197039"/>
            <w:bookmarkStart w:id="27" w:name="_Toc410204640"/>
            <w:bookmarkStart w:id="28" w:name="_Toc341794757"/>
            <w:r>
              <w:rPr>
                <w:rFonts w:cs="Times New Roman" w:asciiTheme="minorEastAsia" w:hAnsiTheme="minorEastAsia" w:eastAsiaTheme="minorEastAsia"/>
                <w:color w:val="000000"/>
              </w:rPr>
              <w:t>PQ</w:t>
            </w:r>
            <w:bookmarkEnd w:id="24"/>
            <w:bookmarkEnd w:id="25"/>
            <w:bookmarkEnd w:id="26"/>
            <w:bookmarkEnd w:id="27"/>
            <w:bookmarkEnd w:id="28"/>
            <w:bookmarkStart w:id="29" w:name="_Toc341794758"/>
            <w:bookmarkEnd w:id="29"/>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性能确认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30" w:name="_Toc341794759"/>
            <w:bookmarkStart w:id="31" w:name="_Toc410197040"/>
            <w:bookmarkStart w:id="32" w:name="_Toc410204641"/>
            <w:bookmarkStart w:id="33" w:name="_Toc410116886"/>
            <w:bookmarkStart w:id="34" w:name="_Toc410197155"/>
            <w:r>
              <w:rPr>
                <w:rFonts w:cs="Times New Roman" w:asciiTheme="minorEastAsia" w:hAnsiTheme="minorEastAsia" w:eastAsiaTheme="minorEastAsia"/>
                <w:color w:val="000000"/>
              </w:rPr>
              <w:t>PLC</w:t>
            </w:r>
            <w:bookmarkEnd w:id="30"/>
            <w:bookmarkEnd w:id="31"/>
            <w:bookmarkEnd w:id="32"/>
            <w:bookmarkEnd w:id="33"/>
            <w:bookmarkEnd w:id="34"/>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程序控制器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DB</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分贝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EHS</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环境、职业健康、安全</w:t>
            </w:r>
          </w:p>
        </w:tc>
      </w:tr>
    </w:tbl>
    <w:p>
      <w:pPr>
        <w:tabs>
          <w:tab w:val="left" w:pos="284"/>
        </w:tabs>
        <w:spacing w:line="360" w:lineRule="auto"/>
        <w:rPr>
          <w:rFonts w:cs="Times New Roman" w:asciiTheme="minorEastAsia" w:hAnsiTheme="minorEastAsia" w:eastAsiaTheme="minorEastAsia"/>
          <w:bCs/>
        </w:rPr>
      </w:pPr>
    </w:p>
    <w:p>
      <w:pPr>
        <w:numPr>
          <w:ilvl w:val="1"/>
          <w:numId w:val="3"/>
        </w:numPr>
        <w:tabs>
          <w:tab w:val="left" w:pos="284"/>
        </w:tabs>
        <w:spacing w:line="360" w:lineRule="auto"/>
        <w:ind w:left="0" w:firstLine="0"/>
        <w:rPr>
          <w:rFonts w:cs="Times New Roman" w:asciiTheme="minorEastAsia" w:hAnsiTheme="minorEastAsia" w:eastAsiaTheme="minorEastAsia"/>
          <w:bCs/>
        </w:rPr>
      </w:pPr>
      <w:r>
        <w:rPr>
          <w:rFonts w:cs="Times New Roman" w:asciiTheme="minorEastAsia" w:hAnsiTheme="minorEastAsia" w:eastAsiaTheme="minorEastAsia"/>
        </w:rPr>
        <w:t>URS</w:t>
      </w:r>
      <w:r>
        <w:rPr>
          <w:rFonts w:hint="eastAsia" w:asciiTheme="minorEastAsia" w:hAnsiTheme="minorEastAsia" w:eastAsiaTheme="minorEastAsia"/>
        </w:rPr>
        <w:t>确认内容</w:t>
      </w:r>
    </w:p>
    <w:p>
      <w:pPr>
        <w:numPr>
          <w:ilvl w:val="2"/>
          <w:numId w:val="3"/>
        </w:numPr>
        <w:tabs>
          <w:tab w:val="left" w:pos="284"/>
        </w:tabs>
        <w:spacing w:line="360" w:lineRule="auto"/>
        <w:ind w:left="644" w:hanging="644"/>
        <w:rPr>
          <w:rFonts w:asciiTheme="minorEastAsia" w:hAnsiTheme="minorEastAsia" w:eastAsiaTheme="minorEastAsia"/>
          <w:color w:val="000000"/>
        </w:rPr>
      </w:pPr>
      <w:r>
        <w:rPr>
          <w:rFonts w:asciiTheme="minorEastAsia" w:hAnsiTheme="minorEastAsia" w:eastAsiaTheme="minorEastAsia"/>
          <w:kern w:val="0"/>
        </w:rPr>
        <w:t>生产工艺要求</w:t>
      </w:r>
    </w:p>
    <w:tbl>
      <w:tblPr>
        <w:tblStyle w:val="19"/>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40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序号</w:t>
            </w:r>
          </w:p>
        </w:tc>
        <w:tc>
          <w:tcPr>
            <w:tcW w:w="6403"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hint="eastAsia" w:asciiTheme="minorEastAsia" w:hAnsiTheme="minorEastAsia" w:eastAsiaTheme="minorEastAsia"/>
                <w:color w:val="000000"/>
              </w:rPr>
              <w:t>需求 （考虑以下方面的需求，但不仅限于此）</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工作容积</w:t>
            </w:r>
            <w:r>
              <w:rPr>
                <w:rFonts w:asciiTheme="minorEastAsia" w:hAnsiTheme="minorEastAsia" w:eastAsiaTheme="minorEastAsia"/>
                <w:bCs/>
              </w:rPr>
              <w:t>50</w:t>
            </w:r>
            <w:r>
              <w:rPr>
                <w:rFonts w:hint="eastAsia" w:asciiTheme="minorEastAsia" w:hAnsiTheme="minorEastAsia" w:eastAsiaTheme="minorEastAsia"/>
                <w:bCs/>
              </w:rPr>
              <w:t>~500L，罐体工作压力：0~0.6MPa，需带夹套，安置于D级洁净区，工作环境温度</w:t>
            </w:r>
            <w:r>
              <w:t>18</w:t>
            </w:r>
            <w:r>
              <w:rPr>
                <w:rFonts w:hint="eastAsia" w:hAnsi="宋体"/>
              </w:rPr>
              <w:t>℃</w:t>
            </w:r>
            <w:r>
              <w:t>～26</w:t>
            </w:r>
            <w:r>
              <w:rPr>
                <w:rFonts w:hint="eastAsia" w:hAnsi="宋体"/>
              </w:rPr>
              <w:t>℃</w:t>
            </w:r>
            <w:r>
              <w:rPr>
                <w:rFonts w:hint="eastAsia" w:asciiTheme="minorEastAsia" w:hAnsiTheme="minorEastAsia" w:eastAsiaTheme="minorEastAsia"/>
                <w:bCs/>
              </w:rPr>
              <w:t>，</w:t>
            </w:r>
            <w:r>
              <w:t>湿度15%～85%</w:t>
            </w:r>
            <w:r>
              <w:rPr>
                <w:rFonts w:hint="eastAsia"/>
              </w:rPr>
              <w:t>；</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罐体材质：</w:t>
            </w:r>
            <w:r>
              <w:rPr>
                <w:rFonts w:asciiTheme="minorEastAsia" w:hAnsiTheme="minorEastAsia" w:eastAsiaTheme="minorEastAsia"/>
              </w:rPr>
              <w:t>罐体及连接管道所有与物料接触部分的材料为316L不锈钢，其它部分为304不锈钢或更高等级的材料。罐体及连接管道内外材质均需耐腐蚀，不生锈</w:t>
            </w:r>
            <w:r>
              <w:rPr>
                <w:rFonts w:hint="eastAsia" w:asciiTheme="minorEastAsia" w:hAnsiTheme="minorEastAsia" w:eastAsiaTheme="minorEastAsia"/>
                <w:bCs/>
              </w:rPr>
              <w:t>；</w:t>
            </w:r>
            <w:r>
              <w:rPr>
                <w:rFonts w:hint="eastAsia" w:asciiTheme="minorEastAsia" w:hAnsiTheme="minorEastAsia" w:eastAsiaTheme="minorEastAsia"/>
              </w:rPr>
              <w:t xml:space="preserve">罐体内表面粗糙度，Ra≤0.4 </w:t>
            </w:r>
            <w:r>
              <w:rPr>
                <w:rFonts w:asciiTheme="minorEastAsia" w:hAnsiTheme="minorEastAsia" w:eastAsiaTheme="minorEastAsia"/>
              </w:rPr>
              <w:t>µ</w:t>
            </w:r>
            <w:r>
              <w:rPr>
                <w:rFonts w:hint="eastAsia" w:asciiTheme="minorEastAsia" w:hAnsiTheme="minorEastAsia" w:eastAsiaTheme="minorEastAsia"/>
              </w:rPr>
              <w:t>m，</w:t>
            </w:r>
            <w:r>
              <w:rPr>
                <w:rFonts w:asciiTheme="minorEastAsia" w:hAnsiTheme="minorEastAsia" w:eastAsiaTheme="minorEastAsia"/>
              </w:rPr>
              <w:t>不生锈，无死角</w:t>
            </w:r>
            <w:r>
              <w:rPr>
                <w:rFonts w:hint="eastAsia" w:asciiTheme="minorEastAsia" w:hAnsiTheme="minorEastAsia" w:eastAsiaTheme="minorEastAsia"/>
              </w:rPr>
              <w:t>。</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bCs/>
              </w:rPr>
            </w:pPr>
            <w:r>
              <w:rPr>
                <w:rFonts w:hint="eastAsia" w:asciiTheme="minorEastAsia" w:hAnsiTheme="minorEastAsia" w:eastAsiaTheme="minorEastAsia"/>
                <w:bCs/>
              </w:rPr>
              <w:t>搅拌桨的设计为框式多层机械搅拌，为304不锈钢材质，应能确保配液罐内料液的达到均一性、不沉积性的效果。</w:t>
            </w:r>
          </w:p>
          <w:p>
            <w:pPr>
              <w:spacing w:line="240" w:lineRule="exact"/>
              <w:rPr>
                <w:rFonts w:asciiTheme="minorEastAsia" w:hAnsiTheme="minorEastAsia" w:eastAsiaTheme="minorEastAsia"/>
                <w:bCs/>
              </w:rPr>
            </w:pPr>
            <w:r>
              <w:rPr>
                <w:rFonts w:hint="eastAsia" w:asciiTheme="minorEastAsia" w:hAnsiTheme="minorEastAsia" w:eastAsiaTheme="minorEastAsia"/>
                <w:bCs/>
              </w:rPr>
              <w:t>料液的性质：PH6.5-6.8，</w:t>
            </w:r>
            <w:r>
              <w:rPr>
                <w:rFonts w:hint="eastAsia"/>
                <w:szCs w:val="21"/>
              </w:rPr>
              <w:t>黏度：4000-5000CP，凝胶状。</w:t>
            </w:r>
            <w:r>
              <w:rPr>
                <w:rFonts w:asciiTheme="minorEastAsia" w:hAnsiTheme="minorEastAsia" w:eastAsiaTheme="minorEastAsia"/>
                <w:bCs/>
              </w:rPr>
              <w:t xml:space="preserve"> </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采用上搅拌和下搅拌装置（确定能搅拌均匀的设计也可），减速机应该配置变频器，可选择不同的搅拌速度调整，搅拌速度为0-1800rpm/min。</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rPr>
              <w:t>罐盖配有投料口、照明口（带灯）、2个液体进料口、观察口、喷淋球口。</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罐底阀采用卫生球阀，球阀采用四氟或者不锈钢，釜底阀采用快开连接，DN50。</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bCs/>
              </w:rPr>
            </w:pPr>
            <w:r>
              <w:rPr>
                <w:rFonts w:hint="eastAsia" w:asciiTheme="minorEastAsia" w:hAnsiTheme="minorEastAsia" w:eastAsiaTheme="minorEastAsia"/>
                <w:bCs/>
              </w:rPr>
              <w:t>反应罐为移动方式，带刹车固定。</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color w:val="000000" w:themeColor="text1"/>
              </w:rPr>
              <w:t>密封圈、垫片应采用无毒无挥发材质。如：耐温硅橡胶，四氟材料等。</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rPr>
              <w:t>减速机控制系统采用手动控制；</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罐体配置取样口；在线pH计（最低液量30L时pH探头能没入液体）；pH计要求能在121℃下灭菌。</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投料口易安装、拆卸；闭合时无泄漏，承压0</w:t>
            </w:r>
            <w:r>
              <w:rPr>
                <w:rFonts w:asciiTheme="minorEastAsia" w:hAnsiTheme="minorEastAsia" w:eastAsiaTheme="minorEastAsia"/>
                <w:bCs/>
              </w:rPr>
              <w:t>.</w:t>
            </w:r>
            <w:r>
              <w:rPr>
                <w:rFonts w:hint="eastAsia" w:asciiTheme="minorEastAsia" w:hAnsiTheme="minorEastAsia" w:eastAsiaTheme="minorEastAsia"/>
                <w:bCs/>
              </w:rPr>
              <w:t>6</w:t>
            </w:r>
            <w:r>
              <w:rPr>
                <w:rFonts w:asciiTheme="minorEastAsia" w:hAnsiTheme="minorEastAsia" w:eastAsiaTheme="minorEastAsia"/>
                <w:bCs/>
              </w:rPr>
              <w:t>Mpa</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autoSpaceDE w:val="0"/>
              <w:autoSpaceDN w:val="0"/>
            </w:pPr>
            <w:r>
              <w:t>设备外壳等材料符合洁净室使用要求，可以耐受75%乙醇、0.2%新洁尔灭等消毒剂擦拭消毒。满足擦拭消毒和空气消毒要求。</w:t>
            </w:r>
          </w:p>
        </w:tc>
        <w:tc>
          <w:tcPr>
            <w:tcW w:w="1348" w:type="dxa"/>
            <w:tcBorders>
              <w:top w:val="single" w:color="auto" w:sz="2" w:space="0"/>
              <w:left w:val="single" w:color="auto" w:sz="2" w:space="0"/>
              <w:bottom w:val="single" w:color="auto" w:sz="2" w:space="0"/>
              <w:right w:val="single" w:color="auto" w:sz="2" w:space="0"/>
            </w:tcBorders>
            <w:vAlign w:val="center"/>
          </w:tcPr>
          <w:p>
            <w:pPr>
              <w:pStyle w:val="54"/>
              <w:spacing w:before="0"/>
              <w:jc w:val="center"/>
              <w:rPr>
                <w:szCs w:val="24"/>
                <w:lang w:eastAsia="zh-CN"/>
              </w:rPr>
            </w:pPr>
            <w:r>
              <w:rPr>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autoSpaceDE w:val="0"/>
              <w:autoSpaceDN w:val="0"/>
            </w:pPr>
            <w:r>
              <w:t>为满足卫生要求，系统及管路、阀门需耐受2~4%、55~65℃ NaOH溶液在位清洗1小时。</w:t>
            </w:r>
          </w:p>
        </w:tc>
        <w:tc>
          <w:tcPr>
            <w:tcW w:w="1348" w:type="dxa"/>
            <w:tcBorders>
              <w:top w:val="single" w:color="auto" w:sz="2" w:space="0"/>
              <w:left w:val="single" w:color="auto" w:sz="2" w:space="0"/>
              <w:bottom w:val="single" w:color="auto" w:sz="2" w:space="0"/>
              <w:right w:val="single" w:color="auto" w:sz="2" w:space="0"/>
            </w:tcBorders>
            <w:vAlign w:val="center"/>
          </w:tcPr>
          <w:p>
            <w:pPr>
              <w:pStyle w:val="54"/>
              <w:spacing w:before="0"/>
              <w:jc w:val="center"/>
              <w:rPr>
                <w:szCs w:val="24"/>
                <w:lang w:eastAsia="zh-CN"/>
              </w:rPr>
            </w:pPr>
            <w:r>
              <w:rPr>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autoSpaceDE w:val="0"/>
              <w:autoSpaceDN w:val="0"/>
            </w:pPr>
            <w:r>
              <w:rPr>
                <w:rFonts w:hint="eastAsia"/>
              </w:rPr>
              <w:t>加热方式采用蒸汽加热；</w:t>
            </w:r>
            <w:r>
              <w:t>温度控制：温度控制范围：20～130℃，分辨率：0.1℃，控制精度±2℃；温度传感器：采用LABOM、jumo、WIKA等同等品牌；</w:t>
            </w:r>
          </w:p>
        </w:tc>
        <w:tc>
          <w:tcPr>
            <w:tcW w:w="1348" w:type="dxa"/>
            <w:tcBorders>
              <w:top w:val="single" w:color="auto" w:sz="2" w:space="0"/>
              <w:left w:val="single" w:color="auto" w:sz="2" w:space="0"/>
              <w:bottom w:val="single" w:color="auto" w:sz="2" w:space="0"/>
              <w:right w:val="single" w:color="auto" w:sz="2" w:space="0"/>
            </w:tcBorders>
            <w:vAlign w:val="center"/>
          </w:tcPr>
          <w:p>
            <w:pPr>
              <w:pStyle w:val="54"/>
              <w:spacing w:before="0"/>
              <w:jc w:val="center"/>
              <w:rPr>
                <w:szCs w:val="24"/>
                <w:lang w:eastAsia="zh-CN"/>
              </w:rPr>
            </w:pPr>
            <w:r>
              <w:rPr>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autoSpaceDE w:val="0"/>
              <w:autoSpaceDN w:val="0"/>
            </w:pPr>
            <w:r>
              <w:rPr>
                <w:rFonts w:hint="eastAsia"/>
              </w:rPr>
              <w:t>要求能接入蒸汽，可以实现在线实物和空罐灭菌（1</w:t>
            </w:r>
            <w:r>
              <w:t>21</w:t>
            </w:r>
            <w:r>
              <w:rPr>
                <w:rFonts w:hint="eastAsia"/>
              </w:rPr>
              <w:t>℃，4</w:t>
            </w:r>
            <w:r>
              <w:t>0</w:t>
            </w:r>
            <w:r>
              <w:rPr>
                <w:rFonts w:hint="eastAsia"/>
              </w:rPr>
              <w:t>min）；</w:t>
            </w:r>
          </w:p>
        </w:tc>
        <w:tc>
          <w:tcPr>
            <w:tcW w:w="1348" w:type="dxa"/>
            <w:tcBorders>
              <w:top w:val="single" w:color="auto" w:sz="2" w:space="0"/>
              <w:left w:val="single" w:color="auto" w:sz="2" w:space="0"/>
              <w:bottom w:val="single" w:color="auto" w:sz="2" w:space="0"/>
              <w:right w:val="single" w:color="auto" w:sz="2" w:space="0"/>
            </w:tcBorders>
            <w:vAlign w:val="center"/>
          </w:tcPr>
          <w:p>
            <w:pPr>
              <w:pStyle w:val="54"/>
              <w:spacing w:before="0"/>
              <w:jc w:val="center"/>
              <w:rPr>
                <w:szCs w:val="24"/>
                <w:lang w:eastAsia="zh-CN"/>
              </w:rPr>
            </w:pPr>
            <w:r>
              <w:rPr>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autoSpaceDE w:val="0"/>
              <w:autoSpaceDN w:val="0"/>
            </w:pPr>
            <w:r>
              <w:rPr>
                <w:rFonts w:hint="eastAsia"/>
              </w:rPr>
              <w:t>此罐无C</w:t>
            </w:r>
            <w:r>
              <w:t>IP</w:t>
            </w:r>
            <w:r>
              <w:rPr>
                <w:rFonts w:hint="eastAsia"/>
              </w:rPr>
              <w:t>，应可进行自循环清洗，满足清洗要求，设计合理的清洗方案（需要碱洗和水洗）。</w:t>
            </w:r>
          </w:p>
        </w:tc>
        <w:tc>
          <w:tcPr>
            <w:tcW w:w="1348" w:type="dxa"/>
            <w:tcBorders>
              <w:top w:val="single" w:color="auto" w:sz="2" w:space="0"/>
              <w:left w:val="single" w:color="auto" w:sz="2" w:space="0"/>
              <w:bottom w:val="single" w:color="auto" w:sz="2" w:space="0"/>
              <w:right w:val="single" w:color="auto" w:sz="2" w:space="0"/>
            </w:tcBorders>
            <w:vAlign w:val="center"/>
          </w:tcPr>
          <w:p>
            <w:pPr>
              <w:pStyle w:val="54"/>
              <w:spacing w:before="0"/>
              <w:jc w:val="center"/>
              <w:rPr>
                <w:sz w:val="21"/>
                <w:szCs w:val="21"/>
                <w:lang w:eastAsia="zh-CN"/>
              </w:rPr>
            </w:pPr>
            <w:r>
              <w:rPr>
                <w:szCs w:val="24"/>
                <w:lang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autoSpaceDE w:val="0"/>
              <w:autoSpaceDN w:val="0"/>
            </w:pPr>
            <w:r>
              <w:rPr>
                <w:rFonts w:hint="eastAsia"/>
              </w:rPr>
              <w:t>此罐配制的样品采用罐内灭菌，然后将灭菌后的溶液在洁净环境下进行分装，应设计合理的无菌连接方式以及分装方案（通过穿墙进入B+</w:t>
            </w:r>
            <w:r>
              <w:t>A</w:t>
            </w:r>
            <w:r>
              <w:rPr>
                <w:rFonts w:hint="eastAsia"/>
              </w:rPr>
              <w:t>级区域，分装在1-5</w:t>
            </w:r>
            <w:r>
              <w:t>L</w:t>
            </w:r>
            <w:r>
              <w:rPr>
                <w:rFonts w:hint="eastAsia"/>
              </w:rPr>
              <w:t>塑料瓶中）。</w:t>
            </w:r>
          </w:p>
        </w:tc>
        <w:tc>
          <w:tcPr>
            <w:tcW w:w="1348" w:type="dxa"/>
            <w:tcBorders>
              <w:top w:val="single" w:color="auto" w:sz="2" w:space="0"/>
              <w:left w:val="single" w:color="auto" w:sz="2" w:space="0"/>
              <w:bottom w:val="single" w:color="auto" w:sz="2" w:space="0"/>
              <w:right w:val="single" w:color="auto" w:sz="2" w:space="0"/>
            </w:tcBorders>
            <w:vAlign w:val="center"/>
          </w:tcPr>
          <w:p>
            <w:pPr>
              <w:pStyle w:val="54"/>
              <w:spacing w:before="0"/>
              <w:jc w:val="center"/>
              <w:rPr>
                <w:sz w:val="21"/>
                <w:szCs w:val="21"/>
                <w:lang w:eastAsia="zh-CN"/>
              </w:rPr>
            </w:pPr>
            <w:r>
              <w:rPr>
                <w:szCs w:val="24"/>
                <w:lang w:eastAsia="zh-CN"/>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lang w:val="en-GB"/>
        </w:rPr>
      </w:pPr>
      <w:r>
        <w:rPr>
          <w:rFonts w:asciiTheme="minorEastAsia" w:hAnsiTheme="minorEastAsia" w:eastAsiaTheme="minorEastAsia"/>
          <w:color w:val="000000"/>
        </w:rPr>
        <w:t>厂房设施及公用系统要求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314"/>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序号</w:t>
            </w:r>
          </w:p>
        </w:tc>
        <w:tc>
          <w:tcPr>
            <w:tcW w:w="6314"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要  求</w:t>
            </w:r>
          </w:p>
        </w:tc>
        <w:tc>
          <w:tcPr>
            <w:tcW w:w="1366"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314" w:type="dxa"/>
            <w:tcBorders>
              <w:top w:val="single" w:color="auto" w:sz="2" w:space="0"/>
              <w:left w:val="single" w:color="auto" w:sz="2" w:space="0"/>
              <w:bottom w:val="single" w:color="auto" w:sz="2" w:space="0"/>
              <w:right w:val="single" w:color="auto" w:sz="2" w:space="0"/>
            </w:tcBorders>
            <w:vAlign w:val="center"/>
          </w:tcPr>
          <w:p>
            <w:pPr>
              <w:pStyle w:val="59"/>
              <w:tabs>
                <w:tab w:val="center" w:pos="4320"/>
                <w:tab w:val="left" w:pos="4680"/>
                <w:tab w:val="right" w:pos="8640"/>
              </w:tabs>
              <w:spacing w:line="300" w:lineRule="exact"/>
              <w:jc w:val="both"/>
              <w:rPr>
                <w:rFonts w:cs="Times New Roman" w:asciiTheme="minorEastAsia" w:hAnsiTheme="minorEastAsia" w:eastAsiaTheme="minorEastAsia"/>
                <w:color w:val="000000"/>
                <w:sz w:val="24"/>
                <w:szCs w:val="24"/>
                <w:lang w:eastAsia="zh-CN"/>
              </w:rPr>
            </w:pPr>
            <w:r>
              <w:rPr>
                <w:rFonts w:cs="Times New Roman" w:asciiTheme="minorEastAsia" w:hAnsiTheme="minorEastAsia" w:eastAsiaTheme="minorEastAsia"/>
                <w:sz w:val="24"/>
                <w:szCs w:val="24"/>
                <w:lang w:eastAsia="zh-CN"/>
              </w:rPr>
              <w:t>供应商应标明公用系统（</w:t>
            </w:r>
            <w:r>
              <w:rPr>
                <w:rFonts w:hint="eastAsia" w:cs="Times New Roman" w:asciiTheme="minorEastAsia" w:hAnsiTheme="minorEastAsia" w:eastAsiaTheme="minorEastAsia"/>
                <w:sz w:val="24"/>
                <w:szCs w:val="24"/>
                <w:lang w:eastAsia="zh-CN"/>
              </w:rPr>
              <w:t>水、</w:t>
            </w:r>
            <w:r>
              <w:rPr>
                <w:rFonts w:cs="Times New Roman" w:asciiTheme="minorEastAsia" w:hAnsiTheme="minorEastAsia" w:eastAsiaTheme="minorEastAsia"/>
                <w:sz w:val="24"/>
                <w:szCs w:val="24"/>
                <w:lang w:eastAsia="zh-CN"/>
              </w:rPr>
              <w:t>电、气等）接口位置及参数要求。</w:t>
            </w:r>
          </w:p>
        </w:tc>
        <w:tc>
          <w:tcPr>
            <w:tcW w:w="1366"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314" w:type="dxa"/>
            <w:tcBorders>
              <w:top w:val="single" w:color="auto" w:sz="2" w:space="0"/>
              <w:left w:val="single" w:color="auto" w:sz="2" w:space="0"/>
              <w:bottom w:val="single" w:color="auto" w:sz="2" w:space="0"/>
              <w:right w:val="single" w:color="auto" w:sz="2" w:space="0"/>
            </w:tcBorders>
            <w:vAlign w:val="center"/>
          </w:tcPr>
          <w:p>
            <w:pPr>
              <w:pStyle w:val="59"/>
              <w:tabs>
                <w:tab w:val="center" w:pos="4320"/>
                <w:tab w:val="left" w:pos="4680"/>
                <w:tab w:val="right" w:pos="8640"/>
              </w:tabs>
              <w:spacing w:line="300" w:lineRule="exact"/>
              <w:jc w:val="both"/>
              <w:rPr>
                <w:rFonts w:cs="Times New Roman" w:asciiTheme="minorEastAsia" w:hAnsiTheme="minorEastAsia" w:eastAsiaTheme="minorEastAsia"/>
                <w:color w:val="000000"/>
                <w:spacing w:val="-10"/>
                <w:sz w:val="24"/>
                <w:szCs w:val="24"/>
                <w:lang w:val="en-US" w:eastAsia="zh-CN"/>
              </w:rPr>
            </w:pPr>
            <w:r>
              <w:rPr>
                <w:rFonts w:cs="Times New Roman" w:asciiTheme="minorEastAsia" w:hAnsiTheme="minorEastAsia" w:eastAsiaTheme="minorEastAsia"/>
                <w:spacing w:val="-10"/>
                <w:sz w:val="24"/>
                <w:szCs w:val="24"/>
                <w:lang w:eastAsia="zh-CN"/>
              </w:rPr>
              <w:t>提供设备详细所需动力系统和厂房设施配套要求，并协助用户完成安装施工图设计。</w:t>
            </w:r>
          </w:p>
        </w:tc>
        <w:tc>
          <w:tcPr>
            <w:tcW w:w="1366"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314"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rPr>
                <w:rFonts w:cs="Times New Roman" w:asciiTheme="minorEastAsia" w:hAnsiTheme="minorEastAsia" w:eastAsiaTheme="minorEastAsia"/>
                <w:color w:val="000000"/>
              </w:rPr>
            </w:pPr>
            <w:r>
              <w:rPr>
                <w:rFonts w:cs="Times New Roman" w:asciiTheme="minorEastAsia" w:hAnsiTheme="minorEastAsia" w:eastAsiaTheme="minorEastAsia"/>
                <w:color w:val="000000"/>
              </w:rPr>
              <w:t>设备具有接地线和中性线。</w:t>
            </w:r>
          </w:p>
        </w:tc>
        <w:tc>
          <w:tcPr>
            <w:tcW w:w="1366"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rPr>
      </w:pPr>
      <w:r>
        <w:rPr>
          <w:rFonts w:cs="Times New Roman" w:asciiTheme="minorEastAsia" w:hAnsiTheme="minorEastAsia" w:eastAsiaTheme="minorEastAsia"/>
          <w:color w:val="000000"/>
        </w:rPr>
        <w:t>设备</w:t>
      </w:r>
      <w:r>
        <w:rPr>
          <w:rFonts w:hint="eastAsia" w:cs="Times New Roman" w:asciiTheme="minorEastAsia" w:hAnsiTheme="minorEastAsia" w:eastAsiaTheme="minorEastAsia"/>
          <w:color w:val="000000"/>
        </w:rPr>
        <w:t>机械部分、系统和部件</w:t>
      </w:r>
      <w:r>
        <w:rPr>
          <w:rFonts w:cs="Times New Roman" w:asciiTheme="minorEastAsia" w:hAnsiTheme="minorEastAsia" w:eastAsiaTheme="minorEastAsia"/>
          <w:color w:val="000000"/>
        </w:rPr>
        <w:t>要求</w:t>
      </w:r>
    </w:p>
    <w:tbl>
      <w:tblPr>
        <w:tblStyle w:val="19"/>
        <w:tblW w:w="9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641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13" w:type="dxa"/>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要  求</w:t>
            </w:r>
          </w:p>
        </w:tc>
        <w:tc>
          <w:tcPr>
            <w:tcW w:w="1275" w:type="dxa"/>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pStyle w:val="59"/>
              <w:tabs>
                <w:tab w:val="center" w:pos="4320"/>
                <w:tab w:val="left" w:pos="4680"/>
                <w:tab w:val="right" w:pos="8640"/>
              </w:tabs>
              <w:jc w:val="both"/>
              <w:rPr>
                <w:rFonts w:cs="Times New Roman" w:asciiTheme="minorEastAsia" w:hAnsiTheme="minorEastAsia" w:eastAsiaTheme="minorEastAsia"/>
                <w:color w:val="000000"/>
                <w:sz w:val="24"/>
                <w:szCs w:val="24"/>
                <w:lang w:eastAsia="zh-CN"/>
              </w:rPr>
            </w:pPr>
            <w:r>
              <w:rPr>
                <w:rFonts w:hint="eastAsia" w:cs="Times New Roman" w:asciiTheme="minorEastAsia" w:hAnsiTheme="minorEastAsia" w:eastAsiaTheme="minorEastAsia"/>
                <w:color w:val="000000"/>
                <w:sz w:val="24"/>
                <w:szCs w:val="24"/>
                <w:lang w:eastAsia="zh-CN"/>
              </w:rPr>
              <w:t>外形：弧形上下底、圆柱主体、三脚或四脚固定</w:t>
            </w:r>
          </w:p>
          <w:p>
            <w:pPr>
              <w:pStyle w:val="59"/>
              <w:tabs>
                <w:tab w:val="center" w:pos="4320"/>
                <w:tab w:val="left" w:pos="4680"/>
                <w:tab w:val="right" w:pos="8640"/>
              </w:tabs>
              <w:jc w:val="both"/>
              <w:rPr>
                <w:rFonts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color w:val="000000"/>
                <w:sz w:val="24"/>
                <w:szCs w:val="24"/>
                <w:lang w:eastAsia="zh-CN"/>
              </w:rPr>
              <w:t>设备内部体积：0.2m</w:t>
            </w:r>
            <w:r>
              <w:rPr>
                <w:rFonts w:hint="eastAsia" w:cs="Times New Roman" w:asciiTheme="minorEastAsia" w:hAnsiTheme="minorEastAsia" w:eastAsiaTheme="minorEastAsia"/>
                <w:color w:val="000000"/>
                <w:sz w:val="24"/>
                <w:szCs w:val="24"/>
                <w:vertAlign w:val="superscript"/>
                <w:lang w:eastAsia="zh-CN"/>
              </w:rPr>
              <w:t>3</w:t>
            </w:r>
          </w:p>
        </w:tc>
        <w:tc>
          <w:tcPr>
            <w:tcW w:w="1275" w:type="dxa"/>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pStyle w:val="59"/>
              <w:tabs>
                <w:tab w:val="center" w:pos="4320"/>
                <w:tab w:val="left" w:pos="4680"/>
                <w:tab w:val="right" w:pos="8640"/>
              </w:tabs>
              <w:jc w:val="both"/>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整机设计符合GMP对生产设备的要求，避免交叉污染、异物脱落对药品质量的影响；材质：设备外壁主体为不锈钢304。材质标准应符合GB24511-2009。</w:t>
            </w:r>
          </w:p>
        </w:tc>
        <w:tc>
          <w:tcPr>
            <w:tcW w:w="1275" w:type="dxa"/>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设备与物料接触部位为不锈钢316，密封垫为硅胶，不得脱落。</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设备的内/外表面应平整、光洁、无清洗盲区、死角，便于</w:t>
            </w:r>
            <w:r>
              <w:rPr>
                <w:rFonts w:hint="eastAsia" w:cs="Times New Roman" w:asciiTheme="minorEastAsia" w:hAnsiTheme="minorEastAsia" w:eastAsiaTheme="minorEastAsia"/>
                <w:sz w:val="24"/>
                <w:szCs w:val="24"/>
                <w:lang w:eastAsia="zh-CN"/>
              </w:rPr>
              <w:t>操作、维护、</w:t>
            </w:r>
            <w:r>
              <w:rPr>
                <w:rFonts w:cs="Times New Roman" w:asciiTheme="minorEastAsia" w:hAnsiTheme="minorEastAsia" w:eastAsiaTheme="minorEastAsia"/>
                <w:sz w:val="24"/>
                <w:szCs w:val="24"/>
                <w:lang w:eastAsia="zh-CN"/>
              </w:rPr>
              <w:t>清洁，不得有无凹凸不平、划痕、毛刺、碰伤、锈蚀等缺陷。</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autoSpaceDE w:val="0"/>
              <w:autoSpaceDN w:val="0"/>
            </w:pPr>
            <w:r>
              <w:t>管道：系统工艺管道材质为316L不锈钢，管路内可以耐受氢氧化钠溶液的长时间浸泡，管路表面可以耐受消毒液消毒。</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autoSpaceDE w:val="0"/>
              <w:autoSpaceDN w:val="0"/>
            </w:pPr>
            <w:r>
              <w:t>膜/垫片：符合FDA要求的卫生级PTFE/EPDM/硅胶材质的膜/垫片，提供膜/垫片材质的证明文件，及相容性列表。能够耐受</w:t>
            </w:r>
            <w:r>
              <w:rPr>
                <w:lang w:val="en-AU"/>
              </w:rPr>
              <w:t>1</w:t>
            </w:r>
            <w:r>
              <w:t>30</w:t>
            </w:r>
            <w:r>
              <w:rPr>
                <w:lang w:val="en-AU"/>
              </w:rPr>
              <w:t>℃以上</w:t>
            </w:r>
            <w:r>
              <w:t>的高温。应该易于拆卸和安装；采用宝帝、盖米等同等品牌。</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autoSpaceDE w:val="0"/>
              <w:autoSpaceDN w:val="0"/>
            </w:pPr>
            <w:r>
              <w:t>操作平台：根据罐体大小及组合配备合适的304不锈钢平台，有足够的操作空间，设置应美观、整洁、防滑并易于维护维修，不脱落异物，耐受清洁消毒剂，易于清洁，要有足够的承载能力</w:t>
            </w:r>
            <w:r>
              <w:rPr>
                <w:rFonts w:hint="eastAsia"/>
              </w:rPr>
              <w:t>。</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各金属焊缝或焊点应抛光、钝化等处理，焊接表面应均匀、完整，不得有焊疤、气孔等现象。</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所有与药品接触的部位均应镜面抛光，Ra≤0.4μm，设备外表面采用亚光处理，Ra≤0.8μm。</w:t>
            </w:r>
            <w:r>
              <w:rPr>
                <w:rFonts w:cs="Times New Roman" w:asciiTheme="minorEastAsia" w:hAnsiTheme="minorEastAsia" w:eastAsiaTheme="minorEastAsia"/>
                <w:sz w:val="24"/>
                <w:szCs w:val="24"/>
              </w:rPr>
              <w:t>设备内外表面所有凹凸部件全部采用圆弧过渡（R≥10mm），或采用不低于135度倒角过渡，紧固方式不采用外露螺钉，确保无死角易清洁。</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需要拆卸进行清洗的部件，应该采用快装式接口。所有用于密封的部件应易于更换和重新安装。</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设备电缆和辅助管线配备洁净管外套。</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设备内的润滑油依厂方设计要求，但应确保不能泄漏。使用的润滑油不能和产品或可能和产品接触的设备表面接触。润滑剂及润滑方式要符合GMP要求,不得对环境造成污染。</w:t>
            </w:r>
            <w:r>
              <w:rPr>
                <w:rFonts w:cs="Times New Roman" w:asciiTheme="minorEastAsia" w:hAnsiTheme="minorEastAsia" w:eastAsiaTheme="minorEastAsia"/>
                <w:kern w:val="0"/>
                <w:sz w:val="24"/>
                <w:szCs w:val="24"/>
              </w:rPr>
              <w:t>机器在任何状态下无漏油现象。</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asciiTheme="minorEastAsia" w:hAnsiTheme="minorEastAsia" w:eastAsiaTheme="minorEastAsia"/>
              </w:rPr>
            </w:pPr>
            <w:r>
              <w:rPr>
                <w:rFonts w:asciiTheme="minorEastAsia" w:hAnsiTheme="minorEastAsia" w:eastAsiaTheme="minorEastAsia"/>
              </w:rPr>
              <w:t>设备铭牌要求字迹清晰、内容正确</w:t>
            </w:r>
            <w:r>
              <w:rPr>
                <w:rFonts w:hint="eastAsia" w:asciiTheme="minorEastAsia" w:hAnsiTheme="minorEastAsia" w:eastAsiaTheme="minorEastAsia"/>
              </w:rPr>
              <w:t>，需要标识：制造单位、产品注册号、型号、编号、出厂日期、重量、安全标识等</w:t>
            </w:r>
            <w:r>
              <w:rPr>
                <w:rFonts w:asciiTheme="minorEastAsia" w:hAnsiTheme="minorEastAsia" w:eastAsiaTheme="minorEastAsia"/>
              </w:rPr>
              <w:t>。</w:t>
            </w:r>
          </w:p>
        </w:tc>
        <w:tc>
          <w:tcPr>
            <w:tcW w:w="1275" w:type="dxa"/>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asciiTheme="minorEastAsia" w:hAnsiTheme="minorEastAsia" w:eastAsiaTheme="minorEastAsia"/>
              </w:rPr>
            </w:pPr>
            <w:r>
              <w:rPr>
                <w:rFonts w:asciiTheme="minorEastAsia" w:hAnsiTheme="minorEastAsia" w:eastAsiaTheme="minorEastAsia"/>
              </w:rPr>
              <w:t>关键仪器仪表应提供出厂的检验合格证。</w:t>
            </w:r>
          </w:p>
        </w:tc>
        <w:tc>
          <w:tcPr>
            <w:tcW w:w="1275" w:type="dxa"/>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asciiTheme="minorEastAsia" w:hAnsiTheme="minorEastAsia" w:eastAsiaTheme="minorEastAsia"/>
              </w:rPr>
            </w:pPr>
            <w:r>
              <w:rPr>
                <w:rFonts w:asciiTheme="minorEastAsia" w:hAnsiTheme="minorEastAsia" w:eastAsiaTheme="minorEastAsia"/>
              </w:rPr>
              <w:t>提供设备材质质保书和材质证明报告。</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asciiTheme="minorEastAsia" w:hAnsiTheme="minorEastAsia" w:eastAsiaTheme="minorEastAsia"/>
              </w:rPr>
            </w:pPr>
            <w:r>
              <w:rPr>
                <w:rFonts w:cs="Times New Roman" w:asciiTheme="minorEastAsia" w:hAnsiTheme="minorEastAsia" w:eastAsiaTheme="minorEastAsia"/>
              </w:rPr>
              <w:t>应提供设备的外形尺寸图及设备的安装布置图。</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cs="Times New Roman" w:asciiTheme="minorEastAsia" w:hAnsiTheme="minorEastAsia" w:eastAsiaTheme="minorEastAsia"/>
              </w:rPr>
            </w:pPr>
            <w:r>
              <w:rPr>
                <w:rFonts w:cs="Times New Roman" w:asciiTheme="minorEastAsia" w:hAnsiTheme="minorEastAsia" w:eastAsiaTheme="minorEastAsia"/>
              </w:rPr>
              <w:t>供应商应该列出正常所需配件清单和数量，包括备件规格型号。供应商须提供1年的易损件备件配件，满足维护、维修需要。</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cs="Times New Roman" w:asciiTheme="minorEastAsia" w:hAnsiTheme="minorEastAsia" w:eastAsiaTheme="minorEastAsia"/>
              </w:rPr>
            </w:pPr>
            <w:r>
              <w:rPr>
                <w:rFonts w:cs="Times New Roman" w:asciiTheme="minorEastAsia" w:hAnsiTheme="minorEastAsia" w:eastAsiaTheme="minorEastAsia"/>
              </w:rPr>
              <w:t>设备拆卸、维修、保养工具套，含工具箱。</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rPr>
      </w:pPr>
      <w:r>
        <w:rPr>
          <w:rFonts w:cs="Times New Roman" w:asciiTheme="minorEastAsia" w:hAnsiTheme="minorEastAsia" w:eastAsiaTheme="minorEastAsia"/>
          <w:color w:val="000000"/>
        </w:rPr>
        <w:t>电气自控要求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4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需求</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rPr>
                <w:rFonts w:cs="Times New Roman" w:asciiTheme="minorEastAsia" w:hAnsiTheme="minorEastAsia" w:eastAsiaTheme="minorEastAsia"/>
                <w:color w:val="000000"/>
              </w:rPr>
            </w:pPr>
            <w:r>
              <w:t>所有自动控制程序都能实现手动控制，且手动控制优先，手动控制有明显标识。</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rPr>
                <w:rFonts w:cs="Times New Roman" w:asciiTheme="minorEastAsia" w:hAnsiTheme="minorEastAsia" w:eastAsiaTheme="minorEastAsia"/>
                <w:color w:val="000000"/>
              </w:rPr>
            </w:pPr>
            <w:r>
              <w:t>仪器软件具有至少</w:t>
            </w:r>
            <w:r>
              <w:rPr>
                <w:rFonts w:hint="eastAsia"/>
              </w:rPr>
              <w:t>3</w:t>
            </w:r>
            <w:r>
              <w:t>级用户分层权限管理及密码管理的功能</w:t>
            </w:r>
            <w:r>
              <w:rPr>
                <w:rFonts w:hint="eastAsia"/>
              </w:rPr>
              <w:t>。</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pPr>
            <w:r>
              <w:t>屏幕显示的结果、储存的记录与打印报告应是一致的</w:t>
            </w:r>
            <w:r>
              <w:rPr>
                <w:rFonts w:hint="eastAsia"/>
              </w:rPr>
              <w:t>。</w:t>
            </w:r>
            <w:r>
              <w:t>使用者应不能修改测试结果</w:t>
            </w:r>
            <w:r>
              <w:rPr>
                <w:rFonts w:hint="eastAsia"/>
              </w:rPr>
              <w:t>。</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pPr>
            <w:r>
              <w:t>具备报警功能，当罐内出现负压现象、温度、搅拌异常、pH异常等现象时，会发出报警提示</w:t>
            </w:r>
            <w:r>
              <w:rPr>
                <w:rFonts w:hint="eastAsia"/>
              </w:rPr>
              <w:t>。</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rPr>
                <w:rFonts w:cs="Times New Roman" w:asciiTheme="minorEastAsia" w:hAnsiTheme="minorEastAsia" w:eastAsiaTheme="minorEastAsia"/>
                <w:color w:val="000000"/>
              </w:rPr>
            </w:pPr>
            <w:r>
              <w:rPr>
                <w:rFonts w:cs="Times New Roman" w:asciiTheme="minorEastAsia" w:hAnsiTheme="minorEastAsia" w:eastAsiaTheme="minorEastAsia"/>
                <w:color w:val="000000"/>
              </w:rPr>
              <w:t>控制柜、操控箱、操控按钮具有良好密封,可完全阻止灰尘、水和湿气进入其中,设备操作控制简单方便。</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ind w:left="12"/>
              <w:rPr>
                <w:rFonts w:cs="Times New Roman" w:asciiTheme="minorEastAsia" w:hAnsiTheme="minorEastAsia" w:eastAsiaTheme="minorEastAsia"/>
                <w:bCs/>
                <w:color w:val="000000"/>
              </w:rPr>
            </w:pPr>
            <w:r>
              <w:rPr>
                <w:rFonts w:cs="Times New Roman" w:asciiTheme="minorEastAsia" w:hAnsiTheme="minorEastAsia" w:eastAsiaTheme="minorEastAsia"/>
              </w:rPr>
              <w:t>设备电源220/380V，3 相5线制，50 Hz；所有线缆均有标号并有连接线路图、原理图、安装图等。</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ind w:left="12"/>
              <w:rPr>
                <w:rFonts w:cs="Times New Roman" w:asciiTheme="minorEastAsia" w:hAnsiTheme="minorEastAsia" w:eastAsiaTheme="minorEastAsia"/>
                <w:bCs/>
                <w:color w:val="000000"/>
              </w:rPr>
            </w:pPr>
            <w:r>
              <w:rPr>
                <w:rFonts w:cs="Times New Roman" w:asciiTheme="minorEastAsia" w:hAnsiTheme="minorEastAsia" w:eastAsiaTheme="minorEastAsia"/>
              </w:rPr>
              <w:t>所有的线路应密闭在接线槽内；所有电缆终端应卷曲包好线头做好相应标记，标示必须经久耐用，不易污损。</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ind w:left="12"/>
              <w:rPr>
                <w:rFonts w:cs="Times New Roman" w:asciiTheme="minorEastAsia" w:hAnsiTheme="minorEastAsia" w:eastAsiaTheme="minorEastAsia"/>
                <w:bCs/>
                <w:color w:val="000000"/>
              </w:rPr>
            </w:pPr>
            <w:r>
              <w:rPr>
                <w:rFonts w:cs="Times New Roman" w:asciiTheme="minorEastAsia" w:hAnsiTheme="minorEastAsia" w:eastAsiaTheme="minorEastAsia"/>
              </w:rPr>
              <w:t>电气线路布置安装符合规范要求，线号标示齐全、清晰。</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rPr>
      </w:pPr>
      <w:r>
        <w:rPr>
          <w:rFonts w:cs="Times New Roman" w:asciiTheme="minorEastAsia" w:hAnsiTheme="minorEastAsia" w:eastAsiaTheme="minorEastAsia"/>
          <w:color w:val="000000"/>
        </w:rPr>
        <w:t>EHS要求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4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需求</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rPr>
                <w:rFonts w:cs="Times New Roman" w:asciiTheme="minorEastAsia" w:hAnsiTheme="minorEastAsia" w:eastAsiaTheme="minorEastAsia"/>
                <w:color w:val="000000"/>
              </w:rPr>
            </w:pPr>
            <w:r>
              <w:rPr>
                <w:rFonts w:cs="Times New Roman" w:asciiTheme="minorEastAsia" w:hAnsiTheme="minorEastAsia" w:eastAsiaTheme="minorEastAsia"/>
                <w:color w:val="000000"/>
              </w:rPr>
              <w:t>设备使用、操作和维修等方面的结构设计需符合人机工程学原理，设计制造满足相关设备安全设计规范。</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spacing w:line="300" w:lineRule="exact"/>
              <w:rPr>
                <w:rFonts w:cs="Times New Roman" w:asciiTheme="minorEastAsia" w:hAnsiTheme="minorEastAsia" w:eastAsiaTheme="minorEastAsia"/>
                <w:kern w:val="0"/>
              </w:rPr>
            </w:pPr>
            <w:r>
              <w:rPr>
                <w:rFonts w:cs="Times New Roman" w:asciiTheme="minorEastAsia" w:hAnsiTheme="minorEastAsia" w:eastAsiaTheme="minorEastAsia"/>
              </w:rPr>
              <w:t>设备外部不可有电线或管路外悬，机组任何部位不得有毛边致使人员刮伤之可能性，设备表面不得有明显刮伤、污损，电路配线端子需配线号及颜色分线之端子套。</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color w:val="000000"/>
              </w:rPr>
              <w:t>应通过防护装置封闭机器的危险元件，</w:t>
            </w:r>
            <w:r>
              <w:rPr>
                <w:rFonts w:cs="Times New Roman" w:asciiTheme="minorEastAsia" w:hAnsiTheme="minorEastAsia" w:eastAsiaTheme="minorEastAsia"/>
              </w:rPr>
              <w:t>电气控制柜装有安全锁，设备接地可靠，有PE/XE标志。绝缘电阻应大于1MΩ，并有防触电保护设置。恰当的故障检测和警报。</w:t>
            </w:r>
            <w:r>
              <w:rPr>
                <w:rFonts w:cs="Times New Roman" w:asciiTheme="minorEastAsia" w:hAnsiTheme="minorEastAsia" w:eastAsiaTheme="minorEastAsia"/>
                <w:color w:val="000000"/>
              </w:rPr>
              <w:t>运动部件的防护应确保不存在人员夹、压或割伤的危险。</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距离设备1.0m远的噪音在75db以下。</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rPr>
                <w:rFonts w:cs="Times New Roman" w:asciiTheme="minorEastAsia" w:hAnsiTheme="minorEastAsia" w:eastAsiaTheme="minorEastAsia"/>
              </w:rPr>
            </w:pPr>
            <w:r>
              <w:rPr>
                <w:rFonts w:cs="Times New Roman" w:asciiTheme="minorEastAsia" w:hAnsiTheme="minorEastAsia" w:eastAsiaTheme="minorEastAsia"/>
                <w:lang w:val="en-AU"/>
              </w:rPr>
              <w:t>设备应有过载保护、漏电保护装置，当设备功能失调或者故障的情况下，必须配备必要的保护措施保证设备和产品仍然处于安全状态。</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rPr>
                <w:rFonts w:cs="Times New Roman" w:asciiTheme="minorEastAsia" w:hAnsiTheme="minorEastAsia" w:eastAsiaTheme="minorEastAsia"/>
              </w:rPr>
            </w:pPr>
            <w:r>
              <w:rPr>
                <w:rFonts w:cs="Times New Roman" w:asciiTheme="minorEastAsia" w:hAnsiTheme="minorEastAsia" w:eastAsiaTheme="minorEastAsia"/>
              </w:rPr>
              <w:t>主电源中断后，本次循环程序即终止，恢复供电后机器不能自动开机，必须人工重新启动。</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rPr>
                <w:rFonts w:cs="Times New Roman" w:asciiTheme="minorEastAsia" w:hAnsiTheme="minorEastAsia" w:eastAsiaTheme="minorEastAsia"/>
              </w:rPr>
            </w:pPr>
            <w:r>
              <w:rPr>
                <w:rFonts w:cs="Times New Roman" w:asciiTheme="minorEastAsia" w:hAnsiTheme="minorEastAsia" w:eastAsiaTheme="minorEastAsia"/>
              </w:rPr>
              <w:t>高温、触电等易伤害部位有醒目的中文安全标志及保护措施。</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rPr>
      </w:pPr>
      <w:r>
        <w:rPr>
          <w:rFonts w:cs="Times New Roman" w:asciiTheme="minorEastAsia" w:hAnsiTheme="minorEastAsia" w:eastAsiaTheme="minorEastAsia"/>
          <w:color w:val="000000"/>
        </w:rPr>
        <w:t>服务要求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4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需 求</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设备供应商应免费对设备使用方人员进行全面培训，包括对生产操作人员及设备维护、维修人员，并填写培训记录。</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asciiTheme="minorEastAsia" w:hAnsiTheme="minorEastAsia" w:eastAsiaTheme="minorEastAsia"/>
              </w:rPr>
            </w:pPr>
            <w:r>
              <w:rPr>
                <w:rFonts w:asciiTheme="minorEastAsia" w:hAnsiTheme="minorEastAsia" w:eastAsiaTheme="minorEastAsia"/>
              </w:rPr>
              <w:t>生产操作人员培训包括设备结构原理、性能、操作、清洗消毒、故障排除等基本知识。合格标准为用户参加培训人员能够独立正确操作设备，会排除常见故障。</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asciiTheme="minorEastAsia" w:hAnsiTheme="minorEastAsia" w:eastAsiaTheme="minorEastAsia"/>
              </w:rPr>
            </w:pPr>
            <w:r>
              <w:rPr>
                <w:rFonts w:asciiTheme="minorEastAsia" w:hAnsiTheme="minorEastAsia" w:eastAsiaTheme="minorEastAsia"/>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设备保质期从确认验收的阶段就开始计算。设备质保期为一年，一年内免费保修，一年后应提供良好的售后服务</w:t>
            </w:r>
            <w:r>
              <w:rPr>
                <w:rFonts w:hint="eastAsia" w:asciiTheme="minorEastAsia" w:hAnsiTheme="minorEastAsia" w:eastAsiaTheme="minorEastAsia"/>
              </w:rPr>
              <w:t>。</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售后服务必须响应及时，要求设备出现须厂家维修的故障后，应在4小时内明确答复，当电话沟通无法解决时，须24小时内派人至现场解决。</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一年免费保修期后，厂家应终生提供及时的维修、维护，厂家应定期回访，解决设备运行当中可能出现的疑问，排除潜在故障，使设备保持良好工作状态。</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厂家应提供合格的备件，用于设备相应部件的维修、更换。</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lang w:val="en-GB"/>
              </w:rPr>
              <w:t>设备运输在运输途中需做好防护措施，不得有任何损伤。</w:t>
            </w:r>
            <w:r>
              <w:rPr>
                <w:rFonts w:asciiTheme="minorEastAsia" w:hAnsiTheme="minorEastAsia" w:eastAsiaTheme="minorEastAsia"/>
              </w:rPr>
              <w:t>运输过程的损失由供应商负责。设备到货拆箱时供应商必须陪同现场人员进行拆箱,如供应商授权用户自行拆箱,拆箱后如发现设备及其附件有任何损坏、缺少，供应商应负全责不得推诿。包装箱应牢固可靠，适合运输装卸的要求。包装箱应有可靠的防潮措施。设备随机专用工具及易损件应加以包装并固定在包装箱内。设备到货清单必须详列每装箱内物品明细。</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验证包括IQ、OQ文件与服务，供应商必须派出具备该类系统至少3年验证经验，且熟悉验证相关文件编写及验证工作实施的验证工程师开展验证工作。</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验证工作应按时保质完成，供应商需提供验证工作计划表。</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验证项目应包含法规要求的测试项目，以及本公司提出的测试项目。</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验证工作完成后，验证记录经本公司相关部门审核，并经质量保证部批准。</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验收前，验证工作已成功完成，验证最终报告已经本公司相关部门审核，并经质量保证部批准。</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货物达到买方使用现场后，由买卖双方共同验收，卖方工程师免费为买方提供调试。</w:t>
            </w:r>
          </w:p>
        </w:tc>
        <w:tc>
          <w:tcPr>
            <w:tcW w:w="1275" w:type="dxa"/>
            <w:tcBorders>
              <w:top w:val="single" w:color="auto" w:sz="2" w:space="0"/>
              <w:left w:val="single" w:color="auto" w:sz="2" w:space="0"/>
              <w:bottom w:val="single" w:color="auto" w:sz="2" w:space="0"/>
              <w:right w:val="single" w:color="auto" w:sz="2" w:space="0"/>
            </w:tcBorders>
            <w:vAlign w:val="center"/>
          </w:tcPr>
          <w:p>
            <w:pPr>
              <w:ind w:firstLine="360" w:firstLineChars="150"/>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供应商进厂安装需遵守安全和施工规定。</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确认调试、验收、验证合格后，买卖双方签订验收报告。</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供货商或施工方在设备验收时需提供特种设备安全监督管理部门颁发的特种设备检验证书和特种设备使用登记证。</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cs="Times New Roman" w:asciiTheme="minorEastAsia" w:hAnsiTheme="minorEastAsia" w:eastAsiaTheme="minorEastAsia"/>
                <w:lang w:val="en-AU"/>
              </w:rPr>
              <w:t>必需</w:t>
            </w:r>
          </w:p>
        </w:tc>
      </w:tr>
    </w:tbl>
    <w:p>
      <w:pPr>
        <w:numPr>
          <w:ilvl w:val="2"/>
          <w:numId w:val="3"/>
        </w:numPr>
        <w:tabs>
          <w:tab w:val="left" w:pos="284"/>
          <w:tab w:val="left" w:pos="812"/>
        </w:tabs>
        <w:spacing w:line="360" w:lineRule="auto"/>
        <w:ind w:left="644" w:hanging="644"/>
        <w:rPr>
          <w:rFonts w:cs="Times New Roman" w:asciiTheme="minorEastAsia" w:hAnsiTheme="minorEastAsia" w:eastAsiaTheme="minorEastAsia"/>
          <w:bCs/>
          <w:color w:val="000000"/>
        </w:rPr>
      </w:pPr>
      <w:r>
        <w:rPr>
          <w:rFonts w:cs="Times New Roman" w:asciiTheme="minorEastAsia" w:hAnsiTheme="minorEastAsia" w:eastAsiaTheme="minorEastAsia"/>
          <w:bCs/>
          <w:color w:val="000000"/>
        </w:rPr>
        <w:t>文件资料要求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4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0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需  求</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供货方提供全套书面的文件和1套电子版的文件，提供的文件和图纸应达到采购方无需设备供应商帮助即可安装、启动、维护维修的程度。</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技术资料及文件内容清晰易懂，电子版文件为可编辑文档。</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应标时供应商应提交一份文件响应目录清单；与附件内容不同的，供应商可以合并在一份文件中，但要包括上述内容。</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响应文件的提供进度，供应商应在提供项目进度计划表中列出，但所有的文件应在最终验收通过前一并提交。</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以下这些文件，供应商要提供纸版和电子版本。</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设备主要部件及操作系统的操作和维修手册，预防性维修表。</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设备安装说明/指南</w:t>
            </w:r>
            <w:r>
              <w:rPr>
                <w:rFonts w:hint="eastAsia" w:asciiTheme="minorEastAsia" w:hAnsiTheme="minorEastAsia" w:eastAsiaTheme="minorEastAsia"/>
                <w:b w:val="0"/>
                <w:caps w:val="0"/>
                <w:kern w:val="2"/>
                <w:szCs w:val="24"/>
                <w:lang w:val="en-US" w:eastAsia="zh-CN"/>
              </w:rPr>
              <w:t>，</w:t>
            </w:r>
            <w:r>
              <w:rPr>
                <w:rFonts w:asciiTheme="minorEastAsia" w:hAnsiTheme="minorEastAsia" w:eastAsiaTheme="minorEastAsia"/>
                <w:b w:val="0"/>
                <w:caps w:val="0"/>
                <w:kern w:val="2"/>
                <w:szCs w:val="24"/>
                <w:lang w:val="en-US" w:eastAsia="zh-CN"/>
              </w:rPr>
              <w:t>设备的操作</w:t>
            </w:r>
            <w:r>
              <w:rPr>
                <w:rFonts w:hint="eastAsia" w:asciiTheme="minorEastAsia" w:hAnsiTheme="minorEastAsia" w:eastAsiaTheme="minorEastAsia"/>
                <w:b w:val="0"/>
                <w:caps w:val="0"/>
                <w:kern w:val="2"/>
                <w:szCs w:val="24"/>
                <w:lang w:val="en-US" w:eastAsia="zh-CN"/>
              </w:rPr>
              <w:t>说明，使用安全注意事项、常见故障与排除；</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rPr>
                <w:rFonts w:asciiTheme="minorEastAsia" w:hAnsiTheme="minorEastAsia" w:eastAsiaTheme="minorEastAsia"/>
                <w:b/>
                <w:caps/>
              </w:rPr>
            </w:pPr>
            <w:r>
              <w:rPr>
                <w:rFonts w:asciiTheme="minorEastAsia" w:hAnsiTheme="minorEastAsia" w:eastAsiaTheme="minorEastAsia"/>
              </w:rPr>
              <w:t>提供证明文件：关键部件材质证明；仪器仪表检验证明；主要部件资料；整机出厂合格证明。</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所用到的机械部件、仪表、控制和电气等，必须有清晰地、永久地标签或标识。</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最终设备完工图。详图（平面图和至少一份主视图）中清楚标注所有必需的尺寸和公用设施位置及要求。</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bCs/>
                <w:kern w:val="2"/>
                <w:szCs w:val="24"/>
                <w:lang w:val="en-US" w:eastAsia="zh-CN"/>
              </w:rPr>
            </w:pPr>
            <w:r>
              <w:rPr>
                <w:rFonts w:asciiTheme="minorEastAsia" w:hAnsiTheme="minorEastAsia" w:eastAsiaTheme="minorEastAsia"/>
                <w:b w:val="0"/>
                <w:bCs/>
                <w:kern w:val="2"/>
                <w:szCs w:val="24"/>
                <w:lang w:val="en-US" w:eastAsia="zh-CN"/>
              </w:rPr>
              <w:t xml:space="preserve">备用和或者更换部件清单及订购信息。 </w:t>
            </w:r>
          </w:p>
        </w:tc>
        <w:tc>
          <w:tcPr>
            <w:tcW w:w="1275" w:type="dxa"/>
            <w:vAlign w:val="center"/>
          </w:tcPr>
          <w:p>
            <w:pPr>
              <w:jc w:val="center"/>
              <w:outlineLvl w:val="1"/>
              <w:rPr>
                <w:rFonts w:asciiTheme="minorEastAsia" w:hAnsiTheme="minorEastAsia" w:eastAsiaTheme="minorEastAsia"/>
              </w:rPr>
            </w:pPr>
            <w:r>
              <w:rPr>
                <w:rFonts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所有直接或非直接接触产品的表面的材质证明。</w:t>
            </w:r>
          </w:p>
        </w:tc>
        <w:tc>
          <w:tcPr>
            <w:tcW w:w="1275" w:type="dxa"/>
            <w:vAlign w:val="center"/>
          </w:tcPr>
          <w:p>
            <w:pPr>
              <w:jc w:val="center"/>
              <w:outlineLvl w:val="1"/>
              <w:rPr>
                <w:rFonts w:asciiTheme="minorEastAsia" w:hAnsiTheme="minorEastAsia" w:eastAsiaTheme="minorEastAsia"/>
              </w:rPr>
            </w:pPr>
            <w:r>
              <w:rPr>
                <w:rFonts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装货清单。提供随机附属配件清单。</w:t>
            </w:r>
          </w:p>
        </w:tc>
        <w:tc>
          <w:tcPr>
            <w:tcW w:w="1275" w:type="dxa"/>
            <w:vAlign w:val="center"/>
          </w:tcPr>
          <w:p>
            <w:pPr>
              <w:jc w:val="center"/>
              <w:outlineLvl w:val="1"/>
              <w:rPr>
                <w:rFonts w:asciiTheme="minorEastAsia" w:hAnsiTheme="minorEastAsia" w:eastAsiaTheme="minorEastAsia"/>
              </w:rPr>
            </w:pPr>
            <w:r>
              <w:rPr>
                <w:rFonts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设计确认（DQ）、</w:t>
            </w:r>
            <w:r>
              <w:rPr>
                <w:rFonts w:hint="eastAsia" w:asciiTheme="minorEastAsia" w:hAnsiTheme="minorEastAsia" w:eastAsiaTheme="minorEastAsia"/>
                <w:b w:val="0"/>
                <w:caps w:val="0"/>
                <w:kern w:val="2"/>
                <w:szCs w:val="24"/>
                <w:lang w:val="en-US" w:eastAsia="zh-CN"/>
              </w:rPr>
              <w:t>工厂验收测试（FAT）、现场验收测试（SAT）、</w:t>
            </w:r>
            <w:r>
              <w:rPr>
                <w:rFonts w:asciiTheme="minorEastAsia" w:hAnsiTheme="minorEastAsia" w:eastAsiaTheme="minorEastAsia"/>
                <w:b w:val="0"/>
                <w:caps w:val="0"/>
                <w:kern w:val="2"/>
                <w:szCs w:val="24"/>
                <w:lang w:val="en-US" w:eastAsia="zh-CN"/>
              </w:rPr>
              <w:t>安装确认(IQ)、运行确认(OQ)、 性能确认(PQ) 、风险评估文件（RA），并与用户共同完成验证确认。</w:t>
            </w:r>
          </w:p>
        </w:tc>
        <w:tc>
          <w:tcPr>
            <w:tcW w:w="1275" w:type="dxa"/>
            <w:vAlign w:val="center"/>
          </w:tcPr>
          <w:p>
            <w:pPr>
              <w:jc w:val="center"/>
              <w:outlineLvl w:val="1"/>
              <w:rPr>
                <w:rFonts w:asciiTheme="minorEastAsia" w:hAnsiTheme="minorEastAsia" w:eastAsiaTheme="minorEastAsia"/>
              </w:rPr>
            </w:pPr>
            <w:r>
              <w:rPr>
                <w:rFonts w:asciiTheme="minorEastAsia" w:hAnsiTheme="minorEastAsia" w:eastAsiaTheme="minorEastAsia"/>
                <w:color w:val="000000"/>
              </w:rPr>
              <w:t>必需</w:t>
            </w:r>
          </w:p>
        </w:tc>
      </w:tr>
    </w:tbl>
    <w:p>
      <w:pPr>
        <w:numPr>
          <w:ilvl w:val="1"/>
          <w:numId w:val="3"/>
        </w:numPr>
        <w:tabs>
          <w:tab w:val="left" w:pos="284"/>
        </w:tabs>
        <w:spacing w:line="360" w:lineRule="auto"/>
        <w:ind w:left="0" w:firstLine="0"/>
        <w:rPr>
          <w:rFonts w:asciiTheme="minorEastAsia" w:hAnsiTheme="minorEastAsia" w:eastAsiaTheme="minorEastAsia"/>
          <w:lang w:val="da-DK"/>
        </w:rPr>
      </w:pPr>
      <w:r>
        <w:rPr>
          <w:rFonts w:asciiTheme="minorEastAsia" w:hAnsiTheme="minorEastAsia" w:eastAsiaTheme="minorEastAsia"/>
          <w:lang w:val="da-DK"/>
        </w:rPr>
        <w:t>供应商反馈</w:t>
      </w:r>
    </w:p>
    <w:p>
      <w:pPr>
        <w:spacing w:line="360" w:lineRule="auto"/>
        <w:ind w:firstLine="480" w:firstLineChars="200"/>
        <w:jc w:val="left"/>
        <w:rPr>
          <w:rFonts w:asciiTheme="minorEastAsia" w:hAnsiTheme="minorEastAsia" w:eastAsiaTheme="minorEastAsia"/>
          <w:lang w:val="da-DK"/>
        </w:rPr>
      </w:pPr>
      <w:r>
        <w:rPr>
          <w:rFonts w:asciiTheme="minorEastAsia" w:hAnsiTheme="minorEastAsia" w:eastAsiaTheme="minorEastAsia"/>
        </w:rPr>
        <w:t>生产商根据本URS各项内容的可行性度进行回馈</w:t>
      </w:r>
      <w:r>
        <w:rPr>
          <w:rFonts w:hint="eastAsia" w:asciiTheme="minorEastAsia" w:hAnsiTheme="minorEastAsia" w:eastAsiaTheme="minorEastAsia"/>
        </w:rPr>
        <w:t>。</w:t>
      </w:r>
    </w:p>
    <w:p>
      <w:pPr>
        <w:numPr>
          <w:ilvl w:val="0"/>
          <w:numId w:val="3"/>
        </w:numPr>
        <w:tabs>
          <w:tab w:val="left" w:pos="284"/>
        </w:tabs>
        <w:spacing w:line="360" w:lineRule="auto"/>
        <w:ind w:left="284" w:hanging="284" w:hangingChars="118"/>
        <w:rPr>
          <w:rFonts w:cs="Times New Roman" w:asciiTheme="minorEastAsia" w:hAnsiTheme="minorEastAsia" w:eastAsiaTheme="minorEastAsia"/>
        </w:rPr>
      </w:pPr>
      <w:r>
        <w:rPr>
          <w:rFonts w:cs="Times New Roman" w:asciiTheme="minorEastAsia" w:hAnsiTheme="minorEastAsia" w:eastAsiaTheme="minorEastAsia"/>
          <w:b/>
        </w:rPr>
        <w:t xml:space="preserve"> </w:t>
      </w:r>
      <w:bookmarkStart w:id="35" w:name="_Toc57044293"/>
      <w:r>
        <w:rPr>
          <w:rFonts w:asciiTheme="minorEastAsia" w:hAnsiTheme="minorEastAsia" w:eastAsiaTheme="minorEastAsia"/>
        </w:rPr>
        <w:t>变更记录</w:t>
      </w:r>
      <w:bookmarkEnd w:id="35"/>
    </w:p>
    <w:tbl>
      <w:tblPr>
        <w:tblStyle w:val="19"/>
        <w:tblW w:w="9185" w:type="dxa"/>
        <w:jc w:val="center"/>
        <w:tblInd w:w="0" w:type="dxa"/>
        <w:tblLayout w:type="fixed"/>
        <w:tblCellMar>
          <w:top w:w="0" w:type="dxa"/>
          <w:left w:w="108" w:type="dxa"/>
          <w:bottom w:w="0" w:type="dxa"/>
          <w:right w:w="108" w:type="dxa"/>
        </w:tblCellMar>
      </w:tblPr>
      <w:tblGrid>
        <w:gridCol w:w="1990"/>
        <w:gridCol w:w="4899"/>
        <w:gridCol w:w="2296"/>
      </w:tblGrid>
      <w:tr>
        <w:tblPrEx>
          <w:tblLayout w:type="fixed"/>
          <w:tblCellMar>
            <w:top w:w="0" w:type="dxa"/>
            <w:left w:w="108" w:type="dxa"/>
            <w:bottom w:w="0" w:type="dxa"/>
            <w:right w:w="108" w:type="dxa"/>
          </w:tblCellMar>
        </w:tblPrEx>
        <w:trPr>
          <w:trHeight w:val="510" w:hRule="atLeast"/>
          <w:jc w:val="center"/>
        </w:trPr>
        <w:tc>
          <w:tcPr>
            <w:tcW w:w="19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变更编号</w:t>
            </w: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val="en-GB"/>
              </w:rPr>
            </w:pPr>
            <w:r>
              <w:rPr>
                <w:rFonts w:asciiTheme="minorEastAsia" w:hAnsiTheme="minorEastAsia" w:eastAsiaTheme="minorEastAsia"/>
                <w:lang w:val="en-GB"/>
              </w:rPr>
              <w:t>变更内容</w:t>
            </w:r>
          </w:p>
        </w:tc>
        <w:tc>
          <w:tcPr>
            <w:tcW w:w="22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val="en-GB"/>
              </w:rPr>
            </w:pPr>
            <w:r>
              <w:rPr>
                <w:rFonts w:asciiTheme="minorEastAsia" w:hAnsiTheme="minorEastAsia" w:eastAsiaTheme="minorEastAsia"/>
                <w:lang w:val="en-GB"/>
              </w:rPr>
              <w:t>生效日期</w:t>
            </w:r>
          </w:p>
        </w:tc>
      </w:tr>
      <w:tr>
        <w:tblPrEx>
          <w:tblLayout w:type="fixed"/>
          <w:tblCellMar>
            <w:top w:w="0" w:type="dxa"/>
            <w:left w:w="108" w:type="dxa"/>
            <w:bottom w:w="0" w:type="dxa"/>
            <w:right w:w="108" w:type="dxa"/>
          </w:tblCellMar>
        </w:tblPrEx>
        <w:trPr>
          <w:trHeight w:val="510" w:hRule="atLeast"/>
          <w:jc w:val="center"/>
        </w:trPr>
        <w:tc>
          <w:tcPr>
            <w:tcW w:w="19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val="en-GB"/>
              </w:rPr>
            </w:pPr>
          </w:p>
        </w:tc>
        <w:tc>
          <w:tcPr>
            <w:tcW w:w="22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val="en-GB"/>
              </w:rPr>
            </w:pPr>
          </w:p>
        </w:tc>
      </w:tr>
    </w:tbl>
    <w:p>
      <w:pPr>
        <w:widowControl/>
        <w:spacing w:line="360" w:lineRule="auto"/>
        <w:ind w:firstLine="360" w:firstLineChars="150"/>
        <w:jc w:val="left"/>
        <w:rPr>
          <w:rFonts w:cs="Times New Roman" w:asciiTheme="minorEastAsia" w:hAnsiTheme="minorEastAsia" w:eastAsiaTheme="minorEastAsia"/>
        </w:rPr>
      </w:pPr>
    </w:p>
    <w:sectPr>
      <w:headerReference r:id="rId4" w:type="first"/>
      <w:footerReference r:id="rId6" w:type="first"/>
      <w:headerReference r:id="rId3" w:type="default"/>
      <w:footerReference r:id="rId5" w:type="default"/>
      <w:pgSz w:w="11906" w:h="16838"/>
      <w:pgMar w:top="1134" w:right="851" w:bottom="851" w:left="1418" w:header="102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0"/>
    <w:family w:val="decorative"/>
    <w:pitch w:val="default"/>
    <w:sig w:usb0="E0002EFF" w:usb1="C000785B" w:usb2="00000009" w:usb3="00000000" w:csb0="400001FF" w:csb1="FFFF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pStyle w:val="11"/>
                            <w:rPr>
                              <w:rFonts w:ascii="Times New Roman"/>
                            </w:rPr>
                          </w:pPr>
                          <w:r>
                            <w:rPr>
                              <w:rFonts w:ascii="Times New Roman"/>
                            </w:rPr>
                            <w:t xml:space="preserve">第 </w:t>
                          </w: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3</w:t>
                          </w:r>
                          <w:r>
                            <w:rPr>
                              <w:rFonts w:ascii="Times New Roman"/>
                            </w:rPr>
                            <w:fldChar w:fldCharType="end"/>
                          </w:r>
                          <w:r>
                            <w:rPr>
                              <w:rFonts w:ascii="Times New Roman"/>
                            </w:rPr>
                            <w:t xml:space="preserve"> 页 共 </w:t>
                          </w:r>
                          <w:r>
                            <w:fldChar w:fldCharType="begin"/>
                          </w:r>
                          <w:r>
                            <w:instrText xml:space="preserve"> NUMPAGES  \* MERGEFORMAT </w:instrText>
                          </w:r>
                          <w:r>
                            <w:fldChar w:fldCharType="separate"/>
                          </w:r>
                          <w:r>
                            <w:rPr>
                              <w:rFonts w:ascii="Times New Roman"/>
                            </w:rPr>
                            <w:t>8</w:t>
                          </w:r>
                          <w:r>
                            <w:rPr>
                              <w:rFonts w:ascii="Times New Roman"/>
                            </w:rPr>
                            <w:fldChar w:fldCharType="end"/>
                          </w:r>
                          <w:r>
                            <w:rPr>
                              <w:rFonts w:ascii="Times New Roman"/>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721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6M7a5AQAAXwMAAA4AAABkcnMvZTJvRG9jLnhtbK1TS27bMBDd&#10;F8gdCO5jyQbSCILlIEGQoECRBkh7AJoiLQL8YUhb8gXaG3TVTfY5l8+RIW3ZQbMLsqHm+2bezGh+&#10;NRhNNgKCcrah00lJibDctcquGvrr5915RUmIzLZMOysauhWBXi3Ovsx7X4uZ65xuBRAEsaHufUO7&#10;GH1dFIF3wrAwcV5YdEoHhkVUYVW0wHpEN7qYleXXonfQenBchIDW272TLjK+lILHH1IGEYluKPYW&#10;8wv5Xaa3WMxZvQLmO8UPbbAPdGGYslj0CHXLIiNrUO+gjOLggpNxwp0pnJSKi8wB2UzL/9g8dcyL&#10;zAWHE/xxTOHzYPnD5hGIanF3lFhmcEW7v392/152z7/JNI2n96HGqCePcXG4cUMKPdgDGhPrQYJJ&#10;X+RD0I+D3h6HK4ZIeEqqZlVVooujb1QQpzilewjxXjhDktBQwO3lobLN9xD3oWNIqmbdndIa7azW&#10;lvSIelFdXuSMNy6jooB9srZYLvHZ952kOCwHdCZx6dotcuzxGBpq8Vop0d8szjrdzSjAKCxHYe1B&#10;rTpsd5orB3+9jthY7vcEeyiMW8yMDxeXzuStnqNO/8X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DoujO2uQEAAF8DAAAOAAAAAAAAAAEAIAAAACIBAABkcnMvZTJvRG9jLnhtbFBLBQYAAAAA&#10;BgAGAFkBAABNBQAAAAA=&#10;">
              <v:fill on="f" focussize="0,0"/>
              <v:stroke on="f" weight="1.25pt" joinstyle="miter"/>
              <v:imagedata o:title=""/>
              <o:lock v:ext="edit" aspectratio="f"/>
              <v:textbox inset="0mm,0mm,0mm,0mm" style="mso-fit-shape-to-text:t;">
                <w:txbxContent>
                  <w:p>
                    <w:pPr>
                      <w:pStyle w:val="11"/>
                      <w:rPr>
                        <w:rFonts w:ascii="Times New Roman"/>
                      </w:rPr>
                    </w:pPr>
                    <w:r>
                      <w:rPr>
                        <w:rFonts w:ascii="Times New Roman"/>
                      </w:rPr>
                      <w:t xml:space="preserve">第 </w:t>
                    </w: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3</w:t>
                    </w:r>
                    <w:r>
                      <w:rPr>
                        <w:rFonts w:ascii="Times New Roman"/>
                      </w:rPr>
                      <w:fldChar w:fldCharType="end"/>
                    </w:r>
                    <w:r>
                      <w:rPr>
                        <w:rFonts w:ascii="Times New Roman"/>
                      </w:rPr>
                      <w:t xml:space="preserve"> 页 共 </w:t>
                    </w:r>
                    <w:r>
                      <w:fldChar w:fldCharType="begin"/>
                    </w:r>
                    <w:r>
                      <w:instrText xml:space="preserve"> NUMPAGES  \* MERGEFORMAT </w:instrText>
                    </w:r>
                    <w:r>
                      <w:fldChar w:fldCharType="separate"/>
                    </w:r>
                    <w:r>
                      <w:rPr>
                        <w:rFonts w:ascii="Times New Roman"/>
                      </w:rPr>
                      <w:t>8</w:t>
                    </w:r>
                    <w:r>
                      <w:rPr>
                        <w:rFonts w:ascii="Times New Roman"/>
                      </w:rPr>
                      <w:fldChar w:fldCharType="end"/>
                    </w:r>
                    <w:r>
                      <w:rPr>
                        <w:rFonts w:ascii="Times New Roman"/>
                      </w:rPr>
                      <w:t xml:space="preserve"> 页</w:t>
                    </w:r>
                  </w:p>
                </w:txbxContent>
              </v:textbox>
            </v:shape>
          </w:pict>
        </mc:Fallback>
      </mc:AlternateContent>
    </w:r>
    <w:r>
      <w:rPr>
        <w:rFonts w:hint="eastAsia"/>
      </w:rPr>
      <w:t xml:space="preserve">成都依思康生物科技有限公司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ZF1i66AQAAXwMAAA4AAABkcnMvZTJvRG9jLnhtbK1TS27bMBDd&#10;F+gdCO5jyQKSCoLloEGQIkDRBkhzAJoiLQL8YUhb8gXaG3TVTfY5l8+RIW3ZQboruqGGnJk3782M&#10;Ftej0WQrIChnWzqflZQIy12n7LqlTz/uLmpKQmS2Y9pZ0dKdCPR6+fHDYvCNqFzvdCeAIIgNzeBb&#10;2sfom6IIvBeGhZnzwqJTOjAs4hXWRQdsQHSji6osr4rBQefBcRECvt4enHSZ8aUUPH6XMohIdEuR&#10;W8wn5HOVzmK5YM0amO8VP9Jg/8DCMGWx6AnqlkVGNqD+gjKKgwtOxhl3pnBSKi6yBlQzL9+peeyZ&#10;F1kLNif4U5vC/4Pl37YPQFTX0ooSywyOaP/71/7Py/75J6lSewYfGox69BgXxxs34pin94CPSfUo&#10;waQv6iHox0bvTs0VYyQ8JdVVXZfo4uibLohfnNM9hPhFOEOS0VLA6eWmsu3XEA+hU0iqZt2d0jpP&#10;UFsyIOpl/ekyZ7xxGRUFHJK1xXJJz4F3suK4GtGZzJXrdqhxwGVoqcVtpUTfW+x12pvJgMlYTcbG&#10;g1r3SHeeKwf/eRORWOZ7hj0WxilmxceNS2vy9p6jzv/F8h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pkXWLroBAABfAwAADgAAAAAAAAABACAAAAAiAQAAZHJzL2Uyb0RvYy54bWxQSwUGAAAA&#10;AAYABgBZAQAATgUAAAAA&#10;">
              <v:fill on="f" focussize="0,0"/>
              <v:stroke on="f" weight="1.25pt" joinstyle="miter"/>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r>
      <w:rPr>
        <w:rFonts w:hint="eastAsia"/>
      </w:rPr>
      <w:t xml:space="preserve">成都依思康生物科技有限公司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jc w:val="left"/>
      <w:rPr>
        <w:sz w:val="21"/>
        <w:szCs w:val="21"/>
        <w:u w:val="double"/>
      </w:rPr>
    </w:pPr>
    <w:r>
      <w:rPr>
        <w:sz w:val="21"/>
        <w:szCs w:val="21"/>
        <w:u w:val="double"/>
      </w:rPr>
      <w:drawing>
        <wp:anchor distT="0" distB="0" distL="114300" distR="114300" simplePos="0" relativeHeight="251658240" behindDoc="0" locked="0" layoutInCell="1" allowOverlap="1">
          <wp:simplePos x="0" y="0"/>
          <wp:positionH relativeFrom="column">
            <wp:posOffset>-40005</wp:posOffset>
          </wp:positionH>
          <wp:positionV relativeFrom="paragraph">
            <wp:posOffset>-186055</wp:posOffset>
          </wp:positionV>
          <wp:extent cx="441325" cy="287020"/>
          <wp:effectExtent l="19050" t="0" r="0" b="0"/>
          <wp:wrapSquare wrapText="bothSides"/>
          <wp:docPr id="7" name="图片 2" descr="C:\Users\ZHENQI~1\AppData\Local\Temp\15363013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ZHENQI~1\AppData\Local\Temp\1536301364(1).png"/>
                  <pic:cNvPicPr>
                    <a:picLocks noChangeAspect="1" noChangeArrowheads="1"/>
                  </pic:cNvPicPr>
                </pic:nvPicPr>
                <pic:blipFill>
                  <a:blip r:embed="rId1"/>
                  <a:srcRect/>
                  <a:stretch>
                    <a:fillRect/>
                  </a:stretch>
                </pic:blipFill>
                <pic:spPr>
                  <a:xfrm>
                    <a:off x="0" y="0"/>
                    <a:ext cx="441325" cy="287020"/>
                  </a:xfrm>
                  <a:prstGeom prst="rect">
                    <a:avLst/>
                  </a:prstGeom>
                  <a:noFill/>
                  <a:ln w="9525">
                    <a:noFill/>
                    <a:miter lim="800000"/>
                    <a:headEnd/>
                    <a:tailEnd/>
                  </a:ln>
                </pic:spPr>
              </pic:pic>
            </a:graphicData>
          </a:graphic>
        </wp:anchor>
      </w:drawing>
    </w:r>
    <w:r>
      <w:rPr>
        <w:sz w:val="21"/>
        <w:szCs w:val="21"/>
        <w:u w:val="double"/>
      </w:rPr>
      <w:t xml:space="preserve">  </w:t>
    </w:r>
    <w:r>
      <w:rPr>
        <w:rFonts w:hint="eastAsia"/>
        <w:sz w:val="21"/>
        <w:szCs w:val="21"/>
        <w:u w:val="doub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jc w:val="both"/>
      <w:rPr>
        <w:sz w:val="21"/>
        <w:szCs w:val="21"/>
        <w:u w:val="double"/>
      </w:rPr>
    </w:pPr>
    <w:r>
      <w:rPr>
        <w:rFonts w:hint="eastAsia"/>
        <w:sz w:val="21"/>
        <w:szCs w:val="21"/>
      </w:rPr>
      <w:t xml:space="preserve"> </w:t>
    </w:r>
    <w:r>
      <w:rPr>
        <w:rFonts w:hint="eastAsia"/>
        <w:sz w:val="21"/>
        <w:szCs w:val="21"/>
        <w:u w:val="double"/>
      </w:rPr>
      <w:t xml:space="preserve">logo                                                                   </w:t>
    </w:r>
    <w:r>
      <w:rPr>
        <w:rFonts w:hint="eastAsia" w:hAnsi="宋体"/>
        <w:sz w:val="21"/>
        <w:szCs w:val="21"/>
        <w:u w:val="double"/>
      </w:rPr>
      <w:t>YSK-</w:t>
    </w:r>
    <w:r>
      <w:rPr>
        <w:rStyle w:val="16"/>
        <w:rFonts w:hint="eastAsia" w:hAnsi="宋体"/>
        <w:b w:val="0"/>
        <w:color w:val="333333"/>
        <w:sz w:val="21"/>
        <w:szCs w:val="21"/>
        <w:u w:val="double"/>
      </w:rPr>
      <w:t>FM</w:t>
    </w:r>
    <w:r>
      <w:rPr>
        <w:rFonts w:hint="eastAsia" w:hAnsi="宋体"/>
        <w:sz w:val="21"/>
        <w:szCs w:val="21"/>
        <w:u w:val="double"/>
      </w:rPr>
      <w:t>-SOP.003-00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52679698">
    <w:nsid w:val="44B47F12"/>
    <w:multiLevelType w:val="multilevel"/>
    <w:tmpl w:val="44B47F12"/>
    <w:lvl w:ilvl="0" w:tentative="1">
      <w:start w:val="1"/>
      <w:numFmt w:val="decimalZero"/>
      <w:lvlText w:val="URS%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00000002"/>
    <w:multiLevelType w:val="multilevel"/>
    <w:tmpl w:val="00000002"/>
    <w:lvl w:ilvl="0" w:tentative="1">
      <w:start w:val="1"/>
      <w:numFmt w:val="decimal"/>
      <w:lvlText w:val="%1."/>
      <w:lvlJc w:val="left"/>
      <w:pPr>
        <w:ind w:left="425" w:hanging="425"/>
      </w:pPr>
      <w:rPr>
        <w:rFonts w:hint="eastAsia"/>
        <w:b/>
      </w:rPr>
    </w:lvl>
    <w:lvl w:ilvl="1" w:tentative="1">
      <w:start w:val="1"/>
      <w:numFmt w:val="decimal"/>
      <w:lvlText w:val="%1.%2."/>
      <w:lvlJc w:val="left"/>
      <w:pPr>
        <w:ind w:left="567" w:hanging="567"/>
      </w:pPr>
      <w:rPr>
        <w:rFonts w:hint="default" w:ascii="Times New Roman" w:hAnsi="Times New Roman" w:cs="Times New Roman"/>
        <w:b w:val="0"/>
        <w:bCs/>
        <w:color w:val="auto"/>
      </w:rPr>
    </w:lvl>
    <w:lvl w:ilvl="2" w:tentative="1">
      <w:start w:val="1"/>
      <w:numFmt w:val="decimal"/>
      <w:lvlText w:val="%1.%2.%3."/>
      <w:lvlJc w:val="left"/>
      <w:pPr>
        <w:ind w:left="993" w:hanging="709"/>
      </w:pPr>
      <w:rPr>
        <w:rFonts w:hint="default" w:ascii="Times New Roman" w:hAnsi="Times New Roman" w:cs="Times New Roman"/>
        <w:b w:val="0"/>
        <w:bCs/>
        <w:sz w:val="24"/>
        <w:szCs w:val="24"/>
      </w:rPr>
    </w:lvl>
    <w:lvl w:ilvl="3" w:tentative="1">
      <w:start w:val="1"/>
      <w:numFmt w:val="decimal"/>
      <w:lvlText w:val="%1.%2.%3.%4."/>
      <w:lvlJc w:val="left"/>
      <w:pPr>
        <w:ind w:left="851" w:hanging="851"/>
      </w:pPr>
      <w:rPr>
        <w:rFonts w:hint="default" w:ascii="Times New Roman" w:hAnsi="Times New Roman" w:cs="Times New Roman"/>
        <w:b w:val="0"/>
        <w:bCs/>
        <w:sz w:val="24"/>
        <w:szCs w:val="24"/>
      </w:rPr>
    </w:lvl>
    <w:lvl w:ilvl="4" w:tentative="1">
      <w:start w:val="1"/>
      <w:numFmt w:val="decimal"/>
      <w:lvlText w:val="%1.%2.%3.%4.%5."/>
      <w:lvlJc w:val="left"/>
      <w:pPr>
        <w:ind w:left="992" w:hanging="992"/>
      </w:pPr>
      <w:rPr>
        <w:rFonts w:hint="eastAsia"/>
        <w:b w:val="0"/>
        <w:bCs/>
      </w:rPr>
    </w:lvl>
    <w:lvl w:ilvl="5" w:tentative="1">
      <w:start w:val="1"/>
      <w:numFmt w:val="decimal"/>
      <w:lvlText w:val="%1.%2.%3.%4.%5.%6."/>
      <w:lvlJc w:val="left"/>
      <w:pPr>
        <w:ind w:left="1134" w:hanging="1134"/>
      </w:pPr>
      <w:rPr>
        <w:rFonts w:hint="eastAsia"/>
      </w:rPr>
    </w:lvl>
    <w:lvl w:ilvl="6" w:tentative="1">
      <w:start w:val="1"/>
      <w:numFmt w:val="decimal"/>
      <w:lvlText w:val="%1.%2.%3.%4.%5.%6.%7."/>
      <w:lvlJc w:val="left"/>
      <w:pPr>
        <w:ind w:left="1276" w:hanging="1276"/>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abstractNum w:abstractNumId="2009819338">
    <w:nsid w:val="77CB68CA"/>
    <w:multiLevelType w:val="multilevel"/>
    <w:tmpl w:val="77CB68CA"/>
    <w:lvl w:ilvl="0" w:tentative="1">
      <w:start w:val="1"/>
      <w:numFmt w:val="decimal"/>
      <w:pStyle w:val="40"/>
      <w:lvlText w:val="%1."/>
      <w:lvlJc w:val="left"/>
      <w:pPr>
        <w:tabs>
          <w:tab w:val="left" w:pos="567"/>
        </w:tabs>
        <w:ind w:left="567" w:hanging="567"/>
      </w:pPr>
      <w:rPr>
        <w:rFonts w:hint="eastAsia" w:ascii="黑体" w:hAnsi="Arial" w:eastAsia="黑体"/>
        <w:b w:val="0"/>
        <w:i w:val="0"/>
        <w:sz w:val="21"/>
        <w:szCs w:val="21"/>
      </w:rPr>
    </w:lvl>
    <w:lvl w:ilvl="1" w:tentative="1">
      <w:start w:val="1"/>
      <w:numFmt w:val="decimal"/>
      <w:lvlText w:val="%1.%2"/>
      <w:lvlJc w:val="left"/>
      <w:pPr>
        <w:tabs>
          <w:tab w:val="left" w:pos="1588"/>
        </w:tabs>
        <w:ind w:left="1588" w:hanging="1021"/>
      </w:pPr>
      <w:rPr>
        <w:rFonts w:hint="eastAsia" w:ascii="黑体" w:hAnsi="宋体" w:eastAsia="黑体"/>
        <w:b w:val="0"/>
      </w:rPr>
    </w:lvl>
    <w:lvl w:ilvl="2" w:tentative="1">
      <w:start w:val="1"/>
      <w:numFmt w:val="decimal"/>
      <w:pStyle w:val="47"/>
      <w:lvlText w:val="%1.%2.%3"/>
      <w:lvlJc w:val="left"/>
      <w:pPr>
        <w:tabs>
          <w:tab w:val="left" w:pos="1580"/>
        </w:tabs>
        <w:ind w:left="900" w:firstLine="0"/>
      </w:pPr>
      <w:rPr>
        <w:rFonts w:hint="eastAsia" w:ascii="宋体" w:eastAsia="宋体"/>
        <w:b w:val="0"/>
        <w:color w:val="auto"/>
        <w:sz w:val="21"/>
        <w:szCs w:val="21"/>
      </w:rPr>
    </w:lvl>
    <w:lvl w:ilvl="3" w:tentative="1">
      <w:start w:val="1"/>
      <w:numFmt w:val="decimal"/>
      <w:lvlText w:val="%1.%2.%3.%4"/>
      <w:lvlJc w:val="left"/>
      <w:pPr>
        <w:tabs>
          <w:tab w:val="left" w:pos="2140"/>
        </w:tabs>
        <w:ind w:left="2140" w:hanging="864"/>
      </w:pPr>
      <w:rPr>
        <w:rFonts w:hint="eastAsia" w:ascii="黑体" w:eastAsia="黑体"/>
        <w:b w:val="0"/>
      </w:rPr>
    </w:lvl>
    <w:lvl w:ilvl="4" w:tentative="1">
      <w:start w:val="1"/>
      <w:numFmt w:val="upperLetter"/>
      <w:lvlText w:val="%5"/>
      <w:lvlJc w:val="left"/>
      <w:pPr>
        <w:tabs>
          <w:tab w:val="left" w:pos="2835"/>
        </w:tabs>
        <w:ind w:left="3175" w:hanging="340"/>
      </w:pPr>
      <w:rPr>
        <w:rFonts w:hint="eastAsia" w:ascii="黑体" w:eastAsia="黑体"/>
      </w:rPr>
    </w:lvl>
    <w:lvl w:ilvl="5" w:tentative="1">
      <w:start w:val="1"/>
      <w:numFmt w:val="lowerLetter"/>
      <w:lvlText w:val="%6)"/>
      <w:lvlJc w:val="left"/>
      <w:pPr>
        <w:tabs>
          <w:tab w:val="left" w:pos="1800"/>
        </w:tabs>
        <w:ind w:left="1152" w:hanging="1152"/>
      </w:pPr>
      <w:rPr>
        <w:rFonts w:hint="eastAsia" w:ascii="黑体" w:eastAsia="黑体"/>
      </w:rPr>
    </w:lvl>
    <w:lvl w:ilvl="6" w:tentative="1">
      <w:start w:val="1"/>
      <w:numFmt w:val="decimal"/>
      <w:lvlText w:val="%1.%2.%3.%4.%5.%6.%7"/>
      <w:lvlJc w:val="left"/>
      <w:pPr>
        <w:tabs>
          <w:tab w:val="left" w:pos="1800"/>
        </w:tabs>
        <w:ind w:left="1296" w:hanging="1296"/>
      </w:pPr>
      <w:rPr>
        <w:rFonts w:hint="default"/>
      </w:rPr>
    </w:lvl>
    <w:lvl w:ilvl="7" w:tentative="1">
      <w:start w:val="1"/>
      <w:numFmt w:val="decimal"/>
      <w:lvlText w:val="%1.%2.%3.%4.%5.%6.%7.%8"/>
      <w:lvlJc w:val="left"/>
      <w:pPr>
        <w:tabs>
          <w:tab w:val="left" w:pos="2160"/>
        </w:tabs>
        <w:ind w:left="1440" w:hanging="1440"/>
      </w:pPr>
      <w:rPr>
        <w:rFonts w:hint="default"/>
      </w:rPr>
    </w:lvl>
    <w:lvl w:ilvl="8" w:tentative="1">
      <w:start w:val="1"/>
      <w:numFmt w:val="decimal"/>
      <w:lvlText w:val="%1.%2.%3.%4.%5.%6.%7.%8.%9"/>
      <w:lvlJc w:val="left"/>
      <w:pPr>
        <w:tabs>
          <w:tab w:val="left" w:pos="2520"/>
        </w:tabs>
        <w:ind w:left="1584" w:hanging="1584"/>
      </w:pPr>
      <w:rPr>
        <w:rFonts w:hint="default"/>
      </w:rPr>
    </w:lvl>
  </w:abstractNum>
  <w:abstractNum w:abstractNumId="8">
    <w:nsid w:val="00000008"/>
    <w:multiLevelType w:val="multilevel"/>
    <w:tmpl w:val="00000008"/>
    <w:lvl w:ilvl="0" w:tentative="1">
      <w:start w:val="1"/>
      <w:numFmt w:val="decimal"/>
      <w:pStyle w:val="46"/>
      <w:lvlText w:val="%1"/>
      <w:lvlJc w:val="left"/>
      <w:pPr>
        <w:tabs>
          <w:tab w:val="left" w:pos="425"/>
        </w:tabs>
        <w:ind w:left="425" w:hanging="425"/>
      </w:pPr>
      <w:rPr>
        <w:b/>
      </w:rPr>
    </w:lvl>
    <w:lvl w:ilvl="1" w:tentative="1">
      <w:start w:val="1"/>
      <w:numFmt w:val="decimal"/>
      <w:lvlText w:val="%1.%2"/>
      <w:lvlJc w:val="left"/>
      <w:pPr>
        <w:tabs>
          <w:tab w:val="left" w:pos="992"/>
        </w:tabs>
        <w:ind w:left="992" w:hanging="567"/>
      </w:pPr>
      <w:rPr>
        <w:b w:val="0"/>
        <w:bCs/>
      </w:rPr>
    </w:lvl>
    <w:lvl w:ilvl="2" w:tentative="1">
      <w:start w:val="1"/>
      <w:numFmt w:val="decimal"/>
      <w:lvlText w:val="%1.%2.%3"/>
      <w:lvlJc w:val="left"/>
      <w:pPr>
        <w:tabs>
          <w:tab w:val="left" w:pos="1418"/>
        </w:tabs>
        <w:ind w:left="1418" w:hanging="567"/>
      </w:pPr>
      <w:rPr>
        <w:b/>
        <w:bCs/>
        <w:color w:val="auto"/>
      </w:rPr>
    </w:lvl>
    <w:lvl w:ilvl="3" w:tentative="1">
      <w:start w:val="1"/>
      <w:numFmt w:val="decimal"/>
      <w:lvlText w:val="%1.%2.%3.%4"/>
      <w:lvlJc w:val="left"/>
      <w:pPr>
        <w:tabs>
          <w:tab w:val="left" w:pos="1984"/>
        </w:tabs>
        <w:ind w:left="1984" w:hanging="708"/>
      </w:pPr>
      <w:rPr>
        <w:b w:val="0"/>
        <w:bCs/>
      </w:rPr>
    </w:lvl>
    <w:lvl w:ilvl="4" w:tentative="1">
      <w:start w:val="1"/>
      <w:numFmt w:val="decimal"/>
      <w:lvlText w:val="%1.%2.%3.%4.%5"/>
      <w:lvlJc w:val="left"/>
      <w:pPr>
        <w:tabs>
          <w:tab w:val="left" w:pos="2551"/>
        </w:tabs>
        <w:ind w:left="2551" w:hanging="850"/>
      </w:pPr>
      <w:rPr>
        <w:b w:val="0"/>
        <w:bCs/>
      </w:rPr>
    </w:lvl>
    <w:lvl w:ilvl="5" w:tentative="1">
      <w:start w:val="1"/>
      <w:numFmt w:val="decimal"/>
      <w:lvlText w:val="%1.%2.%3.%4.%5.%6"/>
      <w:lvlJc w:val="left"/>
      <w:pPr>
        <w:tabs>
          <w:tab w:val="left" w:pos="3260"/>
        </w:tabs>
        <w:ind w:left="3260" w:hanging="1134"/>
      </w:pPr>
    </w:lvl>
    <w:lvl w:ilvl="6" w:tentative="1">
      <w:start w:val="1"/>
      <w:numFmt w:val="decimal"/>
      <w:lvlText w:val="%1.%2.%3.%4.%5.%6.%7"/>
      <w:lvlJc w:val="left"/>
      <w:pPr>
        <w:tabs>
          <w:tab w:val="left" w:pos="3827"/>
        </w:tabs>
        <w:ind w:left="3827" w:hanging="1276"/>
      </w:pPr>
    </w:lvl>
    <w:lvl w:ilvl="7" w:tentative="1">
      <w:start w:val="1"/>
      <w:numFmt w:val="decimal"/>
      <w:lvlText w:val="%1.%2.%3.%4.%5.%6.%7.%8"/>
      <w:lvlJc w:val="left"/>
      <w:pPr>
        <w:tabs>
          <w:tab w:val="left" w:pos="4394"/>
        </w:tabs>
        <w:ind w:left="4394" w:hanging="1418"/>
      </w:pPr>
    </w:lvl>
    <w:lvl w:ilvl="8" w:tentative="1">
      <w:start w:val="1"/>
      <w:numFmt w:val="decimal"/>
      <w:lvlText w:val="%1.%2.%3.%4.%5.%6.%7.%8.%9"/>
      <w:lvlJc w:val="left"/>
      <w:pPr>
        <w:tabs>
          <w:tab w:val="left" w:pos="5102"/>
        </w:tabs>
        <w:ind w:left="5102" w:hanging="1700"/>
      </w:pPr>
    </w:lvl>
  </w:abstractNum>
  <w:num w:numId="1">
    <w:abstractNumId w:val="2009819338"/>
  </w:num>
  <w:num w:numId="2">
    <w:abstractNumId w:val="8"/>
  </w:num>
  <w:num w:numId="3">
    <w:abstractNumId w:val="2"/>
  </w:num>
  <w:num w:numId="4">
    <w:abstractNumId w:val="11526796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2F"/>
    <w:rsid w:val="000058F7"/>
    <w:rsid w:val="00005E7A"/>
    <w:rsid w:val="00015EEE"/>
    <w:rsid w:val="00017CFB"/>
    <w:rsid w:val="000219BC"/>
    <w:rsid w:val="0002783E"/>
    <w:rsid w:val="00031459"/>
    <w:rsid w:val="00032AFA"/>
    <w:rsid w:val="0003301D"/>
    <w:rsid w:val="0003349B"/>
    <w:rsid w:val="0003356B"/>
    <w:rsid w:val="00036E6B"/>
    <w:rsid w:val="00041F22"/>
    <w:rsid w:val="00042C9A"/>
    <w:rsid w:val="00042F86"/>
    <w:rsid w:val="00050B32"/>
    <w:rsid w:val="00051B53"/>
    <w:rsid w:val="00054206"/>
    <w:rsid w:val="000601EA"/>
    <w:rsid w:val="000637E8"/>
    <w:rsid w:val="00066052"/>
    <w:rsid w:val="00066E63"/>
    <w:rsid w:val="00067854"/>
    <w:rsid w:val="00071786"/>
    <w:rsid w:val="000818C0"/>
    <w:rsid w:val="0008272E"/>
    <w:rsid w:val="00083F25"/>
    <w:rsid w:val="000858C6"/>
    <w:rsid w:val="00086779"/>
    <w:rsid w:val="00086BB5"/>
    <w:rsid w:val="0008754D"/>
    <w:rsid w:val="000902F9"/>
    <w:rsid w:val="00092311"/>
    <w:rsid w:val="00093D0F"/>
    <w:rsid w:val="00094884"/>
    <w:rsid w:val="00096E9C"/>
    <w:rsid w:val="000A07A7"/>
    <w:rsid w:val="000A142D"/>
    <w:rsid w:val="000A2C0C"/>
    <w:rsid w:val="000A43B4"/>
    <w:rsid w:val="000B2ED0"/>
    <w:rsid w:val="000B2FED"/>
    <w:rsid w:val="000B3233"/>
    <w:rsid w:val="000B7CC7"/>
    <w:rsid w:val="000C0156"/>
    <w:rsid w:val="000C0E42"/>
    <w:rsid w:val="000C3B19"/>
    <w:rsid w:val="000C4984"/>
    <w:rsid w:val="000C671B"/>
    <w:rsid w:val="000D1945"/>
    <w:rsid w:val="000D7C36"/>
    <w:rsid w:val="000E1CDA"/>
    <w:rsid w:val="000E214C"/>
    <w:rsid w:val="000E2CAD"/>
    <w:rsid w:val="000E6CD7"/>
    <w:rsid w:val="000E749D"/>
    <w:rsid w:val="000F3AE4"/>
    <w:rsid w:val="000F51A7"/>
    <w:rsid w:val="000F5EE0"/>
    <w:rsid w:val="000F7891"/>
    <w:rsid w:val="00101740"/>
    <w:rsid w:val="00104DBA"/>
    <w:rsid w:val="00105493"/>
    <w:rsid w:val="001105A0"/>
    <w:rsid w:val="001136AB"/>
    <w:rsid w:val="00117102"/>
    <w:rsid w:val="00121AA5"/>
    <w:rsid w:val="0012774C"/>
    <w:rsid w:val="00131624"/>
    <w:rsid w:val="00131A4F"/>
    <w:rsid w:val="00131A9F"/>
    <w:rsid w:val="0013253E"/>
    <w:rsid w:val="00136769"/>
    <w:rsid w:val="001377B9"/>
    <w:rsid w:val="00144D73"/>
    <w:rsid w:val="00147277"/>
    <w:rsid w:val="00154562"/>
    <w:rsid w:val="001552B9"/>
    <w:rsid w:val="001601D9"/>
    <w:rsid w:val="00160B1A"/>
    <w:rsid w:val="00162CE5"/>
    <w:rsid w:val="001655ED"/>
    <w:rsid w:val="00165870"/>
    <w:rsid w:val="00166DEC"/>
    <w:rsid w:val="0016759B"/>
    <w:rsid w:val="00172A27"/>
    <w:rsid w:val="00172ED2"/>
    <w:rsid w:val="00174F95"/>
    <w:rsid w:val="001752BC"/>
    <w:rsid w:val="0017564A"/>
    <w:rsid w:val="00176219"/>
    <w:rsid w:val="00176F73"/>
    <w:rsid w:val="00186841"/>
    <w:rsid w:val="00187E32"/>
    <w:rsid w:val="00190E27"/>
    <w:rsid w:val="001933FB"/>
    <w:rsid w:val="00194FEB"/>
    <w:rsid w:val="001A1196"/>
    <w:rsid w:val="001A287C"/>
    <w:rsid w:val="001A472B"/>
    <w:rsid w:val="001A47C3"/>
    <w:rsid w:val="001A4FB0"/>
    <w:rsid w:val="001A5E26"/>
    <w:rsid w:val="001A669A"/>
    <w:rsid w:val="001B0DE7"/>
    <w:rsid w:val="001B7EF2"/>
    <w:rsid w:val="001C0BFA"/>
    <w:rsid w:val="001C10D9"/>
    <w:rsid w:val="001C6288"/>
    <w:rsid w:val="001D5143"/>
    <w:rsid w:val="001E39E4"/>
    <w:rsid w:val="001E47D4"/>
    <w:rsid w:val="001F05EC"/>
    <w:rsid w:val="001F428B"/>
    <w:rsid w:val="001F68A4"/>
    <w:rsid w:val="00200E29"/>
    <w:rsid w:val="00205E94"/>
    <w:rsid w:val="002068C6"/>
    <w:rsid w:val="00207D22"/>
    <w:rsid w:val="002109AB"/>
    <w:rsid w:val="00211B1C"/>
    <w:rsid w:val="00214C05"/>
    <w:rsid w:val="00215A68"/>
    <w:rsid w:val="00215C00"/>
    <w:rsid w:val="00215DC0"/>
    <w:rsid w:val="00225D51"/>
    <w:rsid w:val="00233189"/>
    <w:rsid w:val="0023576D"/>
    <w:rsid w:val="0023718F"/>
    <w:rsid w:val="002417D4"/>
    <w:rsid w:val="002423CB"/>
    <w:rsid w:val="002428B3"/>
    <w:rsid w:val="00244F81"/>
    <w:rsid w:val="00245700"/>
    <w:rsid w:val="0024643B"/>
    <w:rsid w:val="00253096"/>
    <w:rsid w:val="00256924"/>
    <w:rsid w:val="00257E23"/>
    <w:rsid w:val="002602A7"/>
    <w:rsid w:val="00262AB8"/>
    <w:rsid w:val="0026495B"/>
    <w:rsid w:val="002651BE"/>
    <w:rsid w:val="002660E6"/>
    <w:rsid w:val="002705AA"/>
    <w:rsid w:val="00270A2C"/>
    <w:rsid w:val="0027154D"/>
    <w:rsid w:val="0027293D"/>
    <w:rsid w:val="002735A3"/>
    <w:rsid w:val="00276F6F"/>
    <w:rsid w:val="00281117"/>
    <w:rsid w:val="00281B0E"/>
    <w:rsid w:val="00281F9C"/>
    <w:rsid w:val="00284010"/>
    <w:rsid w:val="002866B4"/>
    <w:rsid w:val="002969A5"/>
    <w:rsid w:val="00297465"/>
    <w:rsid w:val="002A09C7"/>
    <w:rsid w:val="002A442E"/>
    <w:rsid w:val="002B2213"/>
    <w:rsid w:val="002B6B59"/>
    <w:rsid w:val="002C00E2"/>
    <w:rsid w:val="002C0E69"/>
    <w:rsid w:val="002C1C0E"/>
    <w:rsid w:val="002C5B16"/>
    <w:rsid w:val="002D164C"/>
    <w:rsid w:val="002D22CE"/>
    <w:rsid w:val="002D3BA8"/>
    <w:rsid w:val="002D704D"/>
    <w:rsid w:val="002E329E"/>
    <w:rsid w:val="002F05E6"/>
    <w:rsid w:val="002F3789"/>
    <w:rsid w:val="002F3E9A"/>
    <w:rsid w:val="00303386"/>
    <w:rsid w:val="0030458B"/>
    <w:rsid w:val="00310391"/>
    <w:rsid w:val="0031045C"/>
    <w:rsid w:val="00311B8D"/>
    <w:rsid w:val="003169A6"/>
    <w:rsid w:val="003177D6"/>
    <w:rsid w:val="0032670E"/>
    <w:rsid w:val="00327F72"/>
    <w:rsid w:val="00331005"/>
    <w:rsid w:val="00331939"/>
    <w:rsid w:val="003320A7"/>
    <w:rsid w:val="0033527F"/>
    <w:rsid w:val="00342B4C"/>
    <w:rsid w:val="003431B3"/>
    <w:rsid w:val="003448A1"/>
    <w:rsid w:val="00350652"/>
    <w:rsid w:val="00352B26"/>
    <w:rsid w:val="003615D6"/>
    <w:rsid w:val="00364517"/>
    <w:rsid w:val="0036470F"/>
    <w:rsid w:val="00364A22"/>
    <w:rsid w:val="00366B43"/>
    <w:rsid w:val="00366C8D"/>
    <w:rsid w:val="003758E5"/>
    <w:rsid w:val="0038293F"/>
    <w:rsid w:val="00382B9C"/>
    <w:rsid w:val="00385048"/>
    <w:rsid w:val="0039259C"/>
    <w:rsid w:val="00395E94"/>
    <w:rsid w:val="003962A7"/>
    <w:rsid w:val="00396F9C"/>
    <w:rsid w:val="00397AE6"/>
    <w:rsid w:val="003A10CD"/>
    <w:rsid w:val="003B2860"/>
    <w:rsid w:val="003B45BA"/>
    <w:rsid w:val="003B4EED"/>
    <w:rsid w:val="003C211B"/>
    <w:rsid w:val="003C3085"/>
    <w:rsid w:val="003C462A"/>
    <w:rsid w:val="003C6913"/>
    <w:rsid w:val="003D44B5"/>
    <w:rsid w:val="003D65F3"/>
    <w:rsid w:val="003E0BA8"/>
    <w:rsid w:val="003E0E64"/>
    <w:rsid w:val="003E13BE"/>
    <w:rsid w:val="003E32EC"/>
    <w:rsid w:val="003E39C0"/>
    <w:rsid w:val="003E42FD"/>
    <w:rsid w:val="003E4462"/>
    <w:rsid w:val="003E5B4F"/>
    <w:rsid w:val="00401B9F"/>
    <w:rsid w:val="00405429"/>
    <w:rsid w:val="00405C78"/>
    <w:rsid w:val="004075D1"/>
    <w:rsid w:val="004109C7"/>
    <w:rsid w:val="00410FD8"/>
    <w:rsid w:val="00414F0E"/>
    <w:rsid w:val="004160CC"/>
    <w:rsid w:val="00420EA2"/>
    <w:rsid w:val="00421178"/>
    <w:rsid w:val="0042126B"/>
    <w:rsid w:val="00422641"/>
    <w:rsid w:val="00422BAB"/>
    <w:rsid w:val="00423E75"/>
    <w:rsid w:val="0043101C"/>
    <w:rsid w:val="004370AA"/>
    <w:rsid w:val="00450CAD"/>
    <w:rsid w:val="00454F87"/>
    <w:rsid w:val="00455563"/>
    <w:rsid w:val="004555B9"/>
    <w:rsid w:val="00457FA1"/>
    <w:rsid w:val="004620B3"/>
    <w:rsid w:val="00463094"/>
    <w:rsid w:val="0046453A"/>
    <w:rsid w:val="00471AC9"/>
    <w:rsid w:val="00481502"/>
    <w:rsid w:val="004821E0"/>
    <w:rsid w:val="00483052"/>
    <w:rsid w:val="00491A1F"/>
    <w:rsid w:val="00491EA4"/>
    <w:rsid w:val="00492476"/>
    <w:rsid w:val="00496DD5"/>
    <w:rsid w:val="004A2313"/>
    <w:rsid w:val="004A2499"/>
    <w:rsid w:val="004A34AC"/>
    <w:rsid w:val="004B05F1"/>
    <w:rsid w:val="004B15E6"/>
    <w:rsid w:val="004B36AF"/>
    <w:rsid w:val="004B4638"/>
    <w:rsid w:val="004B4883"/>
    <w:rsid w:val="004B48E9"/>
    <w:rsid w:val="004B71A4"/>
    <w:rsid w:val="004B7229"/>
    <w:rsid w:val="004C0BE2"/>
    <w:rsid w:val="004C3BD7"/>
    <w:rsid w:val="004C6CA2"/>
    <w:rsid w:val="004D0E41"/>
    <w:rsid w:val="004E539E"/>
    <w:rsid w:val="004E71A0"/>
    <w:rsid w:val="004F1E3F"/>
    <w:rsid w:val="004F2854"/>
    <w:rsid w:val="004F4CC2"/>
    <w:rsid w:val="004F7104"/>
    <w:rsid w:val="00500036"/>
    <w:rsid w:val="00500F51"/>
    <w:rsid w:val="0050356B"/>
    <w:rsid w:val="005044F6"/>
    <w:rsid w:val="00511986"/>
    <w:rsid w:val="005147CA"/>
    <w:rsid w:val="00517199"/>
    <w:rsid w:val="00517D76"/>
    <w:rsid w:val="00521A43"/>
    <w:rsid w:val="00521F63"/>
    <w:rsid w:val="00523170"/>
    <w:rsid w:val="005362B1"/>
    <w:rsid w:val="005409C7"/>
    <w:rsid w:val="00540D82"/>
    <w:rsid w:val="00541737"/>
    <w:rsid w:val="00541947"/>
    <w:rsid w:val="00542C37"/>
    <w:rsid w:val="0054687C"/>
    <w:rsid w:val="00547E44"/>
    <w:rsid w:val="0055266F"/>
    <w:rsid w:val="005534A5"/>
    <w:rsid w:val="005550B2"/>
    <w:rsid w:val="0055517D"/>
    <w:rsid w:val="00556E55"/>
    <w:rsid w:val="00565B91"/>
    <w:rsid w:val="0056695E"/>
    <w:rsid w:val="00566E19"/>
    <w:rsid w:val="005752F7"/>
    <w:rsid w:val="00575582"/>
    <w:rsid w:val="0057710C"/>
    <w:rsid w:val="005771AA"/>
    <w:rsid w:val="00577362"/>
    <w:rsid w:val="00580214"/>
    <w:rsid w:val="00581D9B"/>
    <w:rsid w:val="00583BAF"/>
    <w:rsid w:val="00584035"/>
    <w:rsid w:val="005844CA"/>
    <w:rsid w:val="00586123"/>
    <w:rsid w:val="00587983"/>
    <w:rsid w:val="00593C90"/>
    <w:rsid w:val="0059490E"/>
    <w:rsid w:val="005A2F06"/>
    <w:rsid w:val="005A3874"/>
    <w:rsid w:val="005A5A68"/>
    <w:rsid w:val="005A6E15"/>
    <w:rsid w:val="005A78BA"/>
    <w:rsid w:val="005B7014"/>
    <w:rsid w:val="005C65F1"/>
    <w:rsid w:val="005C7105"/>
    <w:rsid w:val="005D1800"/>
    <w:rsid w:val="005D5384"/>
    <w:rsid w:val="005D53FC"/>
    <w:rsid w:val="005D5B89"/>
    <w:rsid w:val="005D5BC4"/>
    <w:rsid w:val="005E3B45"/>
    <w:rsid w:val="005E7456"/>
    <w:rsid w:val="005E7C53"/>
    <w:rsid w:val="005F02B9"/>
    <w:rsid w:val="005F0B8E"/>
    <w:rsid w:val="005F421D"/>
    <w:rsid w:val="005F5FDD"/>
    <w:rsid w:val="00601F21"/>
    <w:rsid w:val="00610B28"/>
    <w:rsid w:val="006125FB"/>
    <w:rsid w:val="006128EF"/>
    <w:rsid w:val="00612EFD"/>
    <w:rsid w:val="006133D9"/>
    <w:rsid w:val="0061377D"/>
    <w:rsid w:val="0061401B"/>
    <w:rsid w:val="00617A58"/>
    <w:rsid w:val="00621CBC"/>
    <w:rsid w:val="00624699"/>
    <w:rsid w:val="00624D27"/>
    <w:rsid w:val="0063181B"/>
    <w:rsid w:val="0063257E"/>
    <w:rsid w:val="00633E8B"/>
    <w:rsid w:val="00635051"/>
    <w:rsid w:val="006359EA"/>
    <w:rsid w:val="00637270"/>
    <w:rsid w:val="0064616D"/>
    <w:rsid w:val="00650B94"/>
    <w:rsid w:val="00654946"/>
    <w:rsid w:val="006555F5"/>
    <w:rsid w:val="006566BE"/>
    <w:rsid w:val="00657C98"/>
    <w:rsid w:val="00663E4A"/>
    <w:rsid w:val="006646FE"/>
    <w:rsid w:val="00664C25"/>
    <w:rsid w:val="00674E38"/>
    <w:rsid w:val="00675578"/>
    <w:rsid w:val="00681D3E"/>
    <w:rsid w:val="00682382"/>
    <w:rsid w:val="0068324C"/>
    <w:rsid w:val="00683611"/>
    <w:rsid w:val="0068534E"/>
    <w:rsid w:val="0068735A"/>
    <w:rsid w:val="00690A6F"/>
    <w:rsid w:val="00691D51"/>
    <w:rsid w:val="00691F56"/>
    <w:rsid w:val="00696908"/>
    <w:rsid w:val="006B1DF5"/>
    <w:rsid w:val="006B259B"/>
    <w:rsid w:val="006B6219"/>
    <w:rsid w:val="006B75C6"/>
    <w:rsid w:val="006C0834"/>
    <w:rsid w:val="006C0A52"/>
    <w:rsid w:val="006C141A"/>
    <w:rsid w:val="006C2195"/>
    <w:rsid w:val="006C6F05"/>
    <w:rsid w:val="006D5D95"/>
    <w:rsid w:val="006E19E7"/>
    <w:rsid w:val="006F09DF"/>
    <w:rsid w:val="006F253D"/>
    <w:rsid w:val="006F2C6A"/>
    <w:rsid w:val="006F3FFD"/>
    <w:rsid w:val="007022AE"/>
    <w:rsid w:val="0070460C"/>
    <w:rsid w:val="00706187"/>
    <w:rsid w:val="0070769F"/>
    <w:rsid w:val="007079D9"/>
    <w:rsid w:val="00713CD2"/>
    <w:rsid w:val="00715180"/>
    <w:rsid w:val="00715824"/>
    <w:rsid w:val="00720AEF"/>
    <w:rsid w:val="00720DB0"/>
    <w:rsid w:val="0072186E"/>
    <w:rsid w:val="00725140"/>
    <w:rsid w:val="00732BCE"/>
    <w:rsid w:val="00735076"/>
    <w:rsid w:val="00736C0D"/>
    <w:rsid w:val="00743662"/>
    <w:rsid w:val="00745CBA"/>
    <w:rsid w:val="0074742A"/>
    <w:rsid w:val="00747F53"/>
    <w:rsid w:val="0075210E"/>
    <w:rsid w:val="0075448A"/>
    <w:rsid w:val="0075495A"/>
    <w:rsid w:val="0076145D"/>
    <w:rsid w:val="00761CB9"/>
    <w:rsid w:val="00763FA7"/>
    <w:rsid w:val="007667A0"/>
    <w:rsid w:val="00772AC6"/>
    <w:rsid w:val="00774BAF"/>
    <w:rsid w:val="0077677E"/>
    <w:rsid w:val="00777642"/>
    <w:rsid w:val="00780B83"/>
    <w:rsid w:val="00783541"/>
    <w:rsid w:val="00783C3A"/>
    <w:rsid w:val="007844E9"/>
    <w:rsid w:val="00785469"/>
    <w:rsid w:val="007878B0"/>
    <w:rsid w:val="007878BE"/>
    <w:rsid w:val="00792931"/>
    <w:rsid w:val="0079363C"/>
    <w:rsid w:val="00794D08"/>
    <w:rsid w:val="007A13AC"/>
    <w:rsid w:val="007A1C58"/>
    <w:rsid w:val="007A2465"/>
    <w:rsid w:val="007A3D64"/>
    <w:rsid w:val="007A4030"/>
    <w:rsid w:val="007A5D30"/>
    <w:rsid w:val="007A68F6"/>
    <w:rsid w:val="007B2811"/>
    <w:rsid w:val="007B2DF0"/>
    <w:rsid w:val="007B426B"/>
    <w:rsid w:val="007B6338"/>
    <w:rsid w:val="007B7641"/>
    <w:rsid w:val="007C0D70"/>
    <w:rsid w:val="007C1746"/>
    <w:rsid w:val="007C2091"/>
    <w:rsid w:val="007C5ACA"/>
    <w:rsid w:val="007C64D4"/>
    <w:rsid w:val="007C717A"/>
    <w:rsid w:val="007C7CED"/>
    <w:rsid w:val="007D26D3"/>
    <w:rsid w:val="007D2F28"/>
    <w:rsid w:val="007D4A86"/>
    <w:rsid w:val="007D5C32"/>
    <w:rsid w:val="007D793B"/>
    <w:rsid w:val="007E320B"/>
    <w:rsid w:val="007E4C90"/>
    <w:rsid w:val="007E7190"/>
    <w:rsid w:val="007F0D72"/>
    <w:rsid w:val="007F337C"/>
    <w:rsid w:val="007F4C2F"/>
    <w:rsid w:val="007F67FE"/>
    <w:rsid w:val="0080012E"/>
    <w:rsid w:val="00802C11"/>
    <w:rsid w:val="0080565B"/>
    <w:rsid w:val="0081764B"/>
    <w:rsid w:val="00822763"/>
    <w:rsid w:val="00822767"/>
    <w:rsid w:val="00822CE3"/>
    <w:rsid w:val="00822FD8"/>
    <w:rsid w:val="0082393C"/>
    <w:rsid w:val="00824BC1"/>
    <w:rsid w:val="00827281"/>
    <w:rsid w:val="00830E2D"/>
    <w:rsid w:val="008322A2"/>
    <w:rsid w:val="00836B73"/>
    <w:rsid w:val="00836E5B"/>
    <w:rsid w:val="00841FC3"/>
    <w:rsid w:val="00843E5D"/>
    <w:rsid w:val="0084575A"/>
    <w:rsid w:val="00845A5D"/>
    <w:rsid w:val="00851ECF"/>
    <w:rsid w:val="0085344A"/>
    <w:rsid w:val="00853C7B"/>
    <w:rsid w:val="00856941"/>
    <w:rsid w:val="00857AB0"/>
    <w:rsid w:val="00861E96"/>
    <w:rsid w:val="00862974"/>
    <w:rsid w:val="00866EA1"/>
    <w:rsid w:val="008703C1"/>
    <w:rsid w:val="00874AE4"/>
    <w:rsid w:val="00875661"/>
    <w:rsid w:val="00876FB2"/>
    <w:rsid w:val="0088096C"/>
    <w:rsid w:val="00881B0D"/>
    <w:rsid w:val="00882836"/>
    <w:rsid w:val="00882DDE"/>
    <w:rsid w:val="00886CFA"/>
    <w:rsid w:val="00891502"/>
    <w:rsid w:val="00891BF2"/>
    <w:rsid w:val="00891EC7"/>
    <w:rsid w:val="00892F8B"/>
    <w:rsid w:val="008937A1"/>
    <w:rsid w:val="008977C9"/>
    <w:rsid w:val="00897D7F"/>
    <w:rsid w:val="008A37BC"/>
    <w:rsid w:val="008A56AA"/>
    <w:rsid w:val="008A5B86"/>
    <w:rsid w:val="008A6669"/>
    <w:rsid w:val="008B03F2"/>
    <w:rsid w:val="008B4E14"/>
    <w:rsid w:val="008C2233"/>
    <w:rsid w:val="008C4D02"/>
    <w:rsid w:val="008C4DBE"/>
    <w:rsid w:val="008C5876"/>
    <w:rsid w:val="008D0F66"/>
    <w:rsid w:val="008D29AC"/>
    <w:rsid w:val="008E0375"/>
    <w:rsid w:val="008E08D5"/>
    <w:rsid w:val="008E12BE"/>
    <w:rsid w:val="008E264A"/>
    <w:rsid w:val="008E29E5"/>
    <w:rsid w:val="008E5AD4"/>
    <w:rsid w:val="008E64A0"/>
    <w:rsid w:val="008E66CC"/>
    <w:rsid w:val="008F1484"/>
    <w:rsid w:val="008F2631"/>
    <w:rsid w:val="00901D43"/>
    <w:rsid w:val="0090270E"/>
    <w:rsid w:val="00903835"/>
    <w:rsid w:val="009056EB"/>
    <w:rsid w:val="00905CDD"/>
    <w:rsid w:val="009065B0"/>
    <w:rsid w:val="009068FB"/>
    <w:rsid w:val="00913094"/>
    <w:rsid w:val="009150F9"/>
    <w:rsid w:val="00915A73"/>
    <w:rsid w:val="00922DE7"/>
    <w:rsid w:val="009239DA"/>
    <w:rsid w:val="0093005C"/>
    <w:rsid w:val="00933F3F"/>
    <w:rsid w:val="00934701"/>
    <w:rsid w:val="00934768"/>
    <w:rsid w:val="0094101F"/>
    <w:rsid w:val="00941AA7"/>
    <w:rsid w:val="00941D12"/>
    <w:rsid w:val="009423C6"/>
    <w:rsid w:val="009427F8"/>
    <w:rsid w:val="009438E5"/>
    <w:rsid w:val="0094443E"/>
    <w:rsid w:val="00944A1D"/>
    <w:rsid w:val="00944B51"/>
    <w:rsid w:val="00945DEC"/>
    <w:rsid w:val="0094634E"/>
    <w:rsid w:val="00951492"/>
    <w:rsid w:val="00952E27"/>
    <w:rsid w:val="0095308B"/>
    <w:rsid w:val="00953F33"/>
    <w:rsid w:val="00956140"/>
    <w:rsid w:val="00960232"/>
    <w:rsid w:val="00961739"/>
    <w:rsid w:val="0096336F"/>
    <w:rsid w:val="00964549"/>
    <w:rsid w:val="009673A4"/>
    <w:rsid w:val="00974884"/>
    <w:rsid w:val="00974CE5"/>
    <w:rsid w:val="00976A4F"/>
    <w:rsid w:val="00976B7B"/>
    <w:rsid w:val="00977E23"/>
    <w:rsid w:val="0098138E"/>
    <w:rsid w:val="009833DA"/>
    <w:rsid w:val="00990153"/>
    <w:rsid w:val="00990FF2"/>
    <w:rsid w:val="0099144B"/>
    <w:rsid w:val="00992E03"/>
    <w:rsid w:val="00996ED2"/>
    <w:rsid w:val="009A2961"/>
    <w:rsid w:val="009A3309"/>
    <w:rsid w:val="009A5636"/>
    <w:rsid w:val="009A566F"/>
    <w:rsid w:val="009A70F7"/>
    <w:rsid w:val="009B715C"/>
    <w:rsid w:val="009C3521"/>
    <w:rsid w:val="009C534E"/>
    <w:rsid w:val="009C56EC"/>
    <w:rsid w:val="009C6881"/>
    <w:rsid w:val="009C7139"/>
    <w:rsid w:val="009D17C2"/>
    <w:rsid w:val="009D22F7"/>
    <w:rsid w:val="009D3D5D"/>
    <w:rsid w:val="009D4B3A"/>
    <w:rsid w:val="009E08EC"/>
    <w:rsid w:val="009E36F6"/>
    <w:rsid w:val="009E6775"/>
    <w:rsid w:val="009E7122"/>
    <w:rsid w:val="009F0C54"/>
    <w:rsid w:val="009F3B69"/>
    <w:rsid w:val="009F3D72"/>
    <w:rsid w:val="009F7827"/>
    <w:rsid w:val="00A02C74"/>
    <w:rsid w:val="00A077EF"/>
    <w:rsid w:val="00A10BC1"/>
    <w:rsid w:val="00A12168"/>
    <w:rsid w:val="00A1258E"/>
    <w:rsid w:val="00A14C7A"/>
    <w:rsid w:val="00A157C4"/>
    <w:rsid w:val="00A21705"/>
    <w:rsid w:val="00A259BD"/>
    <w:rsid w:val="00A2736B"/>
    <w:rsid w:val="00A31503"/>
    <w:rsid w:val="00A347FC"/>
    <w:rsid w:val="00A36516"/>
    <w:rsid w:val="00A401D0"/>
    <w:rsid w:val="00A41BEB"/>
    <w:rsid w:val="00A42C51"/>
    <w:rsid w:val="00A44405"/>
    <w:rsid w:val="00A50D1C"/>
    <w:rsid w:val="00A5206C"/>
    <w:rsid w:val="00A54947"/>
    <w:rsid w:val="00A557AE"/>
    <w:rsid w:val="00A56EDC"/>
    <w:rsid w:val="00A605BE"/>
    <w:rsid w:val="00A6216B"/>
    <w:rsid w:val="00A62958"/>
    <w:rsid w:val="00A65012"/>
    <w:rsid w:val="00A712A5"/>
    <w:rsid w:val="00A71B26"/>
    <w:rsid w:val="00A7612F"/>
    <w:rsid w:val="00A76A64"/>
    <w:rsid w:val="00A802B3"/>
    <w:rsid w:val="00A803AE"/>
    <w:rsid w:val="00A807FF"/>
    <w:rsid w:val="00A834A3"/>
    <w:rsid w:val="00A83D90"/>
    <w:rsid w:val="00A87151"/>
    <w:rsid w:val="00A90369"/>
    <w:rsid w:val="00A9085B"/>
    <w:rsid w:val="00A92FCA"/>
    <w:rsid w:val="00AA01EC"/>
    <w:rsid w:val="00AA14D5"/>
    <w:rsid w:val="00AA53F3"/>
    <w:rsid w:val="00AA6EF8"/>
    <w:rsid w:val="00AB0B2A"/>
    <w:rsid w:val="00AB1462"/>
    <w:rsid w:val="00AB642C"/>
    <w:rsid w:val="00AB6D6C"/>
    <w:rsid w:val="00AB79E4"/>
    <w:rsid w:val="00AC08CE"/>
    <w:rsid w:val="00AC0AEF"/>
    <w:rsid w:val="00AC2399"/>
    <w:rsid w:val="00AC5D38"/>
    <w:rsid w:val="00AC7925"/>
    <w:rsid w:val="00AD0A13"/>
    <w:rsid w:val="00AD2953"/>
    <w:rsid w:val="00AD3596"/>
    <w:rsid w:val="00AD360C"/>
    <w:rsid w:val="00AD40BB"/>
    <w:rsid w:val="00AD446C"/>
    <w:rsid w:val="00AD6242"/>
    <w:rsid w:val="00AD7448"/>
    <w:rsid w:val="00AD7EB0"/>
    <w:rsid w:val="00AD7F01"/>
    <w:rsid w:val="00AE2101"/>
    <w:rsid w:val="00AF0694"/>
    <w:rsid w:val="00AF5820"/>
    <w:rsid w:val="00AF5A47"/>
    <w:rsid w:val="00AF6BB1"/>
    <w:rsid w:val="00AF7486"/>
    <w:rsid w:val="00B01B07"/>
    <w:rsid w:val="00B01EA2"/>
    <w:rsid w:val="00B02B2D"/>
    <w:rsid w:val="00B10402"/>
    <w:rsid w:val="00B17303"/>
    <w:rsid w:val="00B2118E"/>
    <w:rsid w:val="00B259FD"/>
    <w:rsid w:val="00B302CB"/>
    <w:rsid w:val="00B339D0"/>
    <w:rsid w:val="00B3475A"/>
    <w:rsid w:val="00B3666F"/>
    <w:rsid w:val="00B40095"/>
    <w:rsid w:val="00B407B7"/>
    <w:rsid w:val="00B43BBF"/>
    <w:rsid w:val="00B5245D"/>
    <w:rsid w:val="00B531CE"/>
    <w:rsid w:val="00B542EE"/>
    <w:rsid w:val="00B547C5"/>
    <w:rsid w:val="00B5497D"/>
    <w:rsid w:val="00B55071"/>
    <w:rsid w:val="00B55373"/>
    <w:rsid w:val="00B6037D"/>
    <w:rsid w:val="00B6167B"/>
    <w:rsid w:val="00B64B27"/>
    <w:rsid w:val="00B64D57"/>
    <w:rsid w:val="00B6617F"/>
    <w:rsid w:val="00B676D0"/>
    <w:rsid w:val="00B70623"/>
    <w:rsid w:val="00B71284"/>
    <w:rsid w:val="00B72DCE"/>
    <w:rsid w:val="00B72E2B"/>
    <w:rsid w:val="00B7604B"/>
    <w:rsid w:val="00B80FD9"/>
    <w:rsid w:val="00B82A8A"/>
    <w:rsid w:val="00B90C3A"/>
    <w:rsid w:val="00B91405"/>
    <w:rsid w:val="00B934C3"/>
    <w:rsid w:val="00B94E05"/>
    <w:rsid w:val="00BA332C"/>
    <w:rsid w:val="00BA3C81"/>
    <w:rsid w:val="00BA473D"/>
    <w:rsid w:val="00BA5F9B"/>
    <w:rsid w:val="00BA7114"/>
    <w:rsid w:val="00BA7C91"/>
    <w:rsid w:val="00BB0701"/>
    <w:rsid w:val="00BB458A"/>
    <w:rsid w:val="00BB4A33"/>
    <w:rsid w:val="00BC1083"/>
    <w:rsid w:val="00BC1365"/>
    <w:rsid w:val="00BC6D24"/>
    <w:rsid w:val="00BC7B86"/>
    <w:rsid w:val="00BD551E"/>
    <w:rsid w:val="00BD7D90"/>
    <w:rsid w:val="00BE0AFA"/>
    <w:rsid w:val="00BE5DCB"/>
    <w:rsid w:val="00BF0565"/>
    <w:rsid w:val="00BF1B9C"/>
    <w:rsid w:val="00BF6030"/>
    <w:rsid w:val="00BF7973"/>
    <w:rsid w:val="00C066AA"/>
    <w:rsid w:val="00C10056"/>
    <w:rsid w:val="00C118B5"/>
    <w:rsid w:val="00C11D57"/>
    <w:rsid w:val="00C13DB8"/>
    <w:rsid w:val="00C17471"/>
    <w:rsid w:val="00C20700"/>
    <w:rsid w:val="00C20CA6"/>
    <w:rsid w:val="00C3128E"/>
    <w:rsid w:val="00C425F4"/>
    <w:rsid w:val="00C55EAF"/>
    <w:rsid w:val="00C56FD7"/>
    <w:rsid w:val="00C60985"/>
    <w:rsid w:val="00C62890"/>
    <w:rsid w:val="00C6578D"/>
    <w:rsid w:val="00C705ED"/>
    <w:rsid w:val="00C71C51"/>
    <w:rsid w:val="00C73E79"/>
    <w:rsid w:val="00C75F7F"/>
    <w:rsid w:val="00C80573"/>
    <w:rsid w:val="00C8236F"/>
    <w:rsid w:val="00C83A63"/>
    <w:rsid w:val="00C841F5"/>
    <w:rsid w:val="00C8666F"/>
    <w:rsid w:val="00C91974"/>
    <w:rsid w:val="00C93C37"/>
    <w:rsid w:val="00C93DFF"/>
    <w:rsid w:val="00C940E2"/>
    <w:rsid w:val="00CA0FA9"/>
    <w:rsid w:val="00CA34A1"/>
    <w:rsid w:val="00CA365E"/>
    <w:rsid w:val="00CA3890"/>
    <w:rsid w:val="00CA59AA"/>
    <w:rsid w:val="00CB2344"/>
    <w:rsid w:val="00CB2A7C"/>
    <w:rsid w:val="00CB6CF6"/>
    <w:rsid w:val="00CB7044"/>
    <w:rsid w:val="00CB76C8"/>
    <w:rsid w:val="00CC0E4C"/>
    <w:rsid w:val="00CC2928"/>
    <w:rsid w:val="00CC3C80"/>
    <w:rsid w:val="00CC6A2A"/>
    <w:rsid w:val="00CC6A96"/>
    <w:rsid w:val="00CC7632"/>
    <w:rsid w:val="00CD062F"/>
    <w:rsid w:val="00CD4106"/>
    <w:rsid w:val="00CE0840"/>
    <w:rsid w:val="00CE27A0"/>
    <w:rsid w:val="00CE29E9"/>
    <w:rsid w:val="00CE5D20"/>
    <w:rsid w:val="00CF052E"/>
    <w:rsid w:val="00CF1B13"/>
    <w:rsid w:val="00CF3E10"/>
    <w:rsid w:val="00CF7EFB"/>
    <w:rsid w:val="00D03630"/>
    <w:rsid w:val="00D060EA"/>
    <w:rsid w:val="00D06617"/>
    <w:rsid w:val="00D10868"/>
    <w:rsid w:val="00D120F2"/>
    <w:rsid w:val="00D15C42"/>
    <w:rsid w:val="00D2004C"/>
    <w:rsid w:val="00D21AB0"/>
    <w:rsid w:val="00D21DA9"/>
    <w:rsid w:val="00D23A06"/>
    <w:rsid w:val="00D31F00"/>
    <w:rsid w:val="00D32D8C"/>
    <w:rsid w:val="00D33FFF"/>
    <w:rsid w:val="00D36581"/>
    <w:rsid w:val="00D41758"/>
    <w:rsid w:val="00D43BC2"/>
    <w:rsid w:val="00D457E1"/>
    <w:rsid w:val="00D45BF0"/>
    <w:rsid w:val="00D51034"/>
    <w:rsid w:val="00D532F2"/>
    <w:rsid w:val="00D53961"/>
    <w:rsid w:val="00D544E6"/>
    <w:rsid w:val="00D55C98"/>
    <w:rsid w:val="00D57849"/>
    <w:rsid w:val="00D61363"/>
    <w:rsid w:val="00D64BD7"/>
    <w:rsid w:val="00D651F2"/>
    <w:rsid w:val="00D6534E"/>
    <w:rsid w:val="00D66575"/>
    <w:rsid w:val="00D71417"/>
    <w:rsid w:val="00D7543D"/>
    <w:rsid w:val="00D7586B"/>
    <w:rsid w:val="00D83937"/>
    <w:rsid w:val="00D83BFA"/>
    <w:rsid w:val="00D851F4"/>
    <w:rsid w:val="00D8590D"/>
    <w:rsid w:val="00D85C5C"/>
    <w:rsid w:val="00D866A7"/>
    <w:rsid w:val="00D90C85"/>
    <w:rsid w:val="00D92988"/>
    <w:rsid w:val="00D95187"/>
    <w:rsid w:val="00D958DD"/>
    <w:rsid w:val="00D95A44"/>
    <w:rsid w:val="00D96560"/>
    <w:rsid w:val="00DA1F52"/>
    <w:rsid w:val="00DA23B5"/>
    <w:rsid w:val="00DA2545"/>
    <w:rsid w:val="00DA2C7C"/>
    <w:rsid w:val="00DA67EE"/>
    <w:rsid w:val="00DA71C7"/>
    <w:rsid w:val="00DC34C3"/>
    <w:rsid w:val="00DC3C25"/>
    <w:rsid w:val="00DD137D"/>
    <w:rsid w:val="00DD5067"/>
    <w:rsid w:val="00DD5CB6"/>
    <w:rsid w:val="00DD5CCD"/>
    <w:rsid w:val="00DE0096"/>
    <w:rsid w:val="00DE0632"/>
    <w:rsid w:val="00DE0EBF"/>
    <w:rsid w:val="00DE26F1"/>
    <w:rsid w:val="00DE432F"/>
    <w:rsid w:val="00DE504C"/>
    <w:rsid w:val="00DE6159"/>
    <w:rsid w:val="00DE79C6"/>
    <w:rsid w:val="00DF1883"/>
    <w:rsid w:val="00DF2E72"/>
    <w:rsid w:val="00DF3868"/>
    <w:rsid w:val="00DF4776"/>
    <w:rsid w:val="00DF49C9"/>
    <w:rsid w:val="00DF4CAC"/>
    <w:rsid w:val="00DF6797"/>
    <w:rsid w:val="00E007E8"/>
    <w:rsid w:val="00E01E20"/>
    <w:rsid w:val="00E01EFD"/>
    <w:rsid w:val="00E10019"/>
    <w:rsid w:val="00E101B9"/>
    <w:rsid w:val="00E10456"/>
    <w:rsid w:val="00E13D7C"/>
    <w:rsid w:val="00E221B5"/>
    <w:rsid w:val="00E233FB"/>
    <w:rsid w:val="00E258B2"/>
    <w:rsid w:val="00E262A9"/>
    <w:rsid w:val="00E26551"/>
    <w:rsid w:val="00E30BAC"/>
    <w:rsid w:val="00E30D26"/>
    <w:rsid w:val="00E346BB"/>
    <w:rsid w:val="00E34C35"/>
    <w:rsid w:val="00E3734A"/>
    <w:rsid w:val="00E3743B"/>
    <w:rsid w:val="00E42649"/>
    <w:rsid w:val="00E4318F"/>
    <w:rsid w:val="00E43DE6"/>
    <w:rsid w:val="00E44708"/>
    <w:rsid w:val="00E44BA2"/>
    <w:rsid w:val="00E45EC8"/>
    <w:rsid w:val="00E461CE"/>
    <w:rsid w:val="00E46B77"/>
    <w:rsid w:val="00E510FB"/>
    <w:rsid w:val="00E55462"/>
    <w:rsid w:val="00E56B9F"/>
    <w:rsid w:val="00E61378"/>
    <w:rsid w:val="00E61414"/>
    <w:rsid w:val="00E66927"/>
    <w:rsid w:val="00E70A4E"/>
    <w:rsid w:val="00E72906"/>
    <w:rsid w:val="00E73D22"/>
    <w:rsid w:val="00E807C6"/>
    <w:rsid w:val="00E8153D"/>
    <w:rsid w:val="00E82091"/>
    <w:rsid w:val="00E83F10"/>
    <w:rsid w:val="00E85AB1"/>
    <w:rsid w:val="00E862B1"/>
    <w:rsid w:val="00E872F4"/>
    <w:rsid w:val="00E87865"/>
    <w:rsid w:val="00E903DA"/>
    <w:rsid w:val="00E914D8"/>
    <w:rsid w:val="00E945CF"/>
    <w:rsid w:val="00EA1003"/>
    <w:rsid w:val="00EA123E"/>
    <w:rsid w:val="00EA1578"/>
    <w:rsid w:val="00EA19A9"/>
    <w:rsid w:val="00EA4113"/>
    <w:rsid w:val="00EB127F"/>
    <w:rsid w:val="00EB7369"/>
    <w:rsid w:val="00EB7ABD"/>
    <w:rsid w:val="00EC051C"/>
    <w:rsid w:val="00EC2B4A"/>
    <w:rsid w:val="00EC3AA9"/>
    <w:rsid w:val="00EC6643"/>
    <w:rsid w:val="00EC67FC"/>
    <w:rsid w:val="00EC77A8"/>
    <w:rsid w:val="00ED0B98"/>
    <w:rsid w:val="00ED0E56"/>
    <w:rsid w:val="00ED7D84"/>
    <w:rsid w:val="00EE541A"/>
    <w:rsid w:val="00EE7593"/>
    <w:rsid w:val="00EF01CB"/>
    <w:rsid w:val="00EF3016"/>
    <w:rsid w:val="00EF4F99"/>
    <w:rsid w:val="00EF78B2"/>
    <w:rsid w:val="00F068F0"/>
    <w:rsid w:val="00F2001B"/>
    <w:rsid w:val="00F205AB"/>
    <w:rsid w:val="00F20B03"/>
    <w:rsid w:val="00F21243"/>
    <w:rsid w:val="00F2493B"/>
    <w:rsid w:val="00F26F9E"/>
    <w:rsid w:val="00F31829"/>
    <w:rsid w:val="00F32491"/>
    <w:rsid w:val="00F32E82"/>
    <w:rsid w:val="00F34954"/>
    <w:rsid w:val="00F37DC5"/>
    <w:rsid w:val="00F42498"/>
    <w:rsid w:val="00F42712"/>
    <w:rsid w:val="00F5386E"/>
    <w:rsid w:val="00F53BF1"/>
    <w:rsid w:val="00F53BFD"/>
    <w:rsid w:val="00F541D3"/>
    <w:rsid w:val="00F55DED"/>
    <w:rsid w:val="00F612CA"/>
    <w:rsid w:val="00F614CC"/>
    <w:rsid w:val="00F61C92"/>
    <w:rsid w:val="00F6261F"/>
    <w:rsid w:val="00F64545"/>
    <w:rsid w:val="00F66B91"/>
    <w:rsid w:val="00F675D8"/>
    <w:rsid w:val="00F720C8"/>
    <w:rsid w:val="00F76F07"/>
    <w:rsid w:val="00F8035D"/>
    <w:rsid w:val="00F811D5"/>
    <w:rsid w:val="00F81229"/>
    <w:rsid w:val="00F83D72"/>
    <w:rsid w:val="00F84CF7"/>
    <w:rsid w:val="00F856EE"/>
    <w:rsid w:val="00F944DA"/>
    <w:rsid w:val="00F97310"/>
    <w:rsid w:val="00FA536A"/>
    <w:rsid w:val="00FB4B8C"/>
    <w:rsid w:val="00FB6876"/>
    <w:rsid w:val="00FB693E"/>
    <w:rsid w:val="00FC04AB"/>
    <w:rsid w:val="00FC0B31"/>
    <w:rsid w:val="00FD366A"/>
    <w:rsid w:val="00FD6B0C"/>
    <w:rsid w:val="00FE11A1"/>
    <w:rsid w:val="00FE1502"/>
    <w:rsid w:val="00FE4509"/>
    <w:rsid w:val="00FE4A32"/>
    <w:rsid w:val="00FE4AA4"/>
    <w:rsid w:val="00FE6505"/>
    <w:rsid w:val="00FF7ADC"/>
    <w:rsid w:val="0376545A"/>
    <w:rsid w:val="044C3EBA"/>
    <w:rsid w:val="05631F87"/>
    <w:rsid w:val="072A458A"/>
    <w:rsid w:val="199529A1"/>
    <w:rsid w:val="1F095F7F"/>
    <w:rsid w:val="1FF8277A"/>
    <w:rsid w:val="20950F0E"/>
    <w:rsid w:val="21185D28"/>
    <w:rsid w:val="25036AE5"/>
    <w:rsid w:val="251866C2"/>
    <w:rsid w:val="2BA66B18"/>
    <w:rsid w:val="2ECD5DFB"/>
    <w:rsid w:val="3D341090"/>
    <w:rsid w:val="3E971D94"/>
    <w:rsid w:val="45FE1305"/>
    <w:rsid w:val="471E3737"/>
    <w:rsid w:val="479C11F4"/>
    <w:rsid w:val="5DCB641B"/>
    <w:rsid w:val="60ED50DB"/>
    <w:rsid w:val="68286D11"/>
    <w:rsid w:val="687E5B87"/>
    <w:rsid w:val="689C6489"/>
    <w:rsid w:val="6F063EB1"/>
    <w:rsid w:val="742171DB"/>
    <w:rsid w:val="7D043B78"/>
    <w:rsid w:val="7D3F3F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kern w:val="2"/>
      <w:sz w:val="24"/>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4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unhideWhenUsed/>
    <w:qFormat/>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link w:val="34"/>
    <w:uiPriority w:val="0"/>
    <w:pPr>
      <w:jc w:val="left"/>
    </w:pPr>
    <w:rPr>
      <w:rFonts w:cs="Times New Roman"/>
    </w:rPr>
  </w:style>
  <w:style w:type="paragraph" w:styleId="6">
    <w:name w:val="Plain Text"/>
    <w:basedOn w:val="1"/>
    <w:link w:val="55"/>
    <w:qFormat/>
    <w:uiPriority w:val="0"/>
    <w:rPr>
      <w:rFonts w:hAnsi="Courier New" w:cs="Courier New"/>
      <w:sz w:val="21"/>
      <w:szCs w:val="21"/>
    </w:rPr>
  </w:style>
  <w:style w:type="paragraph" w:styleId="7">
    <w:name w:val="toc 8"/>
    <w:basedOn w:val="1"/>
    <w:next w:val="1"/>
    <w:qFormat/>
    <w:uiPriority w:val="0"/>
    <w:pPr>
      <w:ind w:left="2940" w:leftChars="1400"/>
    </w:pPr>
  </w:style>
  <w:style w:type="paragraph" w:styleId="8">
    <w:name w:val="Date"/>
    <w:basedOn w:val="1"/>
    <w:next w:val="1"/>
    <w:link w:val="23"/>
    <w:uiPriority w:val="0"/>
    <w:pPr>
      <w:ind w:left="100" w:leftChars="2500"/>
    </w:pPr>
    <w:rPr>
      <w:rFonts w:cs="Times New Roman"/>
    </w:rPr>
  </w:style>
  <w:style w:type="paragraph" w:styleId="9">
    <w:name w:val="endnote text"/>
    <w:basedOn w:val="1"/>
    <w:link w:val="57"/>
    <w:qFormat/>
    <w:uiPriority w:val="0"/>
    <w:pPr>
      <w:snapToGrid w:val="0"/>
      <w:jc w:val="left"/>
    </w:pPr>
    <w:rPr>
      <w:rFonts w:ascii="Times New Roman" w:cs="Times New Roman"/>
      <w:sz w:val="21"/>
      <w:szCs w:val="20"/>
    </w:rPr>
  </w:style>
  <w:style w:type="paragraph" w:styleId="10">
    <w:name w:val="Balloon Text"/>
    <w:basedOn w:val="1"/>
    <w:link w:val="24"/>
    <w:uiPriority w:val="0"/>
    <w:rPr>
      <w:rFonts w:cs="Times New Roman"/>
      <w:sz w:val="18"/>
      <w:szCs w:val="18"/>
    </w:rPr>
  </w:style>
  <w:style w:type="paragraph" w:styleId="11">
    <w:name w:val="footer"/>
    <w:basedOn w:val="1"/>
    <w:link w:val="21"/>
    <w:uiPriority w:val="0"/>
    <w:pPr>
      <w:tabs>
        <w:tab w:val="center" w:pos="4153"/>
        <w:tab w:val="right" w:pos="8306"/>
      </w:tabs>
      <w:snapToGrid w:val="0"/>
      <w:jc w:val="left"/>
    </w:pPr>
    <w:rPr>
      <w:rFonts w:cs="Times New Roman"/>
      <w:sz w:val="18"/>
      <w:szCs w:val="18"/>
    </w:rPr>
  </w:style>
  <w:style w:type="paragraph" w:styleId="12">
    <w:name w:val="header"/>
    <w:basedOn w:val="1"/>
    <w:link w:val="37"/>
    <w:uiPriority w:val="0"/>
    <w:pPr>
      <w:tabs>
        <w:tab w:val="center" w:pos="4153"/>
        <w:tab w:val="right" w:pos="8306"/>
      </w:tabs>
      <w:snapToGrid w:val="0"/>
      <w:jc w:val="center"/>
    </w:pPr>
    <w:rPr>
      <w:rFonts w:cs="Times New Roman"/>
      <w:sz w:val="18"/>
      <w:szCs w:val="18"/>
    </w:rPr>
  </w:style>
  <w:style w:type="paragraph" w:styleId="13">
    <w:name w:val="toc 1"/>
    <w:basedOn w:val="1"/>
    <w:next w:val="1"/>
    <w:qFormat/>
    <w:uiPriority w:val="0"/>
    <w:pPr>
      <w:adjustRightInd w:val="0"/>
      <w:spacing w:line="360" w:lineRule="auto"/>
      <w:jc w:val="center"/>
      <w:textAlignment w:val="bottom"/>
    </w:pPr>
    <w:rPr>
      <w:rFonts w:ascii="Arial" w:hAnsi="Arial" w:cs="Times New Roman"/>
      <w:kern w:val="0"/>
      <w:szCs w:val="20"/>
    </w:rPr>
  </w:style>
  <w:style w:type="paragraph" w:styleId="14">
    <w:name w:val="Body Text Indent 3"/>
    <w:basedOn w:val="1"/>
    <w:link w:val="52"/>
    <w:qFormat/>
    <w:uiPriority w:val="0"/>
    <w:pPr>
      <w:spacing w:after="120"/>
      <w:ind w:left="420" w:leftChars="200"/>
    </w:pPr>
    <w:rPr>
      <w:rFonts w:ascii="Times New Roman" w:cs="Times New Roman"/>
      <w:sz w:val="16"/>
      <w:szCs w:val="16"/>
    </w:rPr>
  </w:style>
  <w:style w:type="character" w:styleId="16">
    <w:name w:val="Strong"/>
    <w:qFormat/>
    <w:uiPriority w:val="0"/>
    <w:rPr>
      <w:b/>
      <w:bCs/>
    </w:rPr>
  </w:style>
  <w:style w:type="character" w:styleId="17">
    <w:name w:val="page number"/>
    <w:basedOn w:val="15"/>
    <w:uiPriority w:val="0"/>
  </w:style>
  <w:style w:type="character" w:styleId="18">
    <w:name w:val="annotation reference"/>
    <w:uiPriority w:val="0"/>
    <w:rPr>
      <w:sz w:val="21"/>
      <w:szCs w:val="21"/>
    </w:rPr>
  </w:style>
  <w:style w:type="table" w:styleId="20">
    <w:name w:val="Table Grid"/>
    <w:basedOn w:val="1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页脚 字符"/>
    <w:link w:val="11"/>
    <w:uiPriority w:val="0"/>
    <w:rPr>
      <w:rFonts w:ascii="宋体" w:eastAsia="宋体" w:cs="宋体"/>
      <w:kern w:val="2"/>
      <w:sz w:val="18"/>
      <w:szCs w:val="18"/>
      <w:lang w:val="en-US" w:eastAsia="zh-CN"/>
    </w:rPr>
  </w:style>
  <w:style w:type="character" w:customStyle="1" w:styleId="22">
    <w:name w:val="highlight1"/>
    <w:uiPriority w:val="0"/>
    <w:rPr>
      <w:shd w:val="clear" w:color="auto" w:fill="FFFF00"/>
    </w:rPr>
  </w:style>
  <w:style w:type="character" w:customStyle="1" w:styleId="23">
    <w:name w:val="日期 字符"/>
    <w:link w:val="8"/>
    <w:uiPriority w:val="0"/>
    <w:rPr>
      <w:rFonts w:ascii="宋体" w:cs="宋体"/>
      <w:kern w:val="2"/>
      <w:sz w:val="24"/>
      <w:szCs w:val="24"/>
    </w:rPr>
  </w:style>
  <w:style w:type="character" w:customStyle="1" w:styleId="24">
    <w:name w:val="批注框文本 字符"/>
    <w:link w:val="10"/>
    <w:uiPriority w:val="0"/>
    <w:rPr>
      <w:rFonts w:ascii="宋体" w:cs="宋体"/>
      <w:kern w:val="2"/>
      <w:sz w:val="18"/>
      <w:szCs w:val="18"/>
    </w:rPr>
  </w:style>
  <w:style w:type="character" w:customStyle="1" w:styleId="25">
    <w:name w:val="页码1"/>
    <w:basedOn w:val="15"/>
    <w:uiPriority w:val="0"/>
  </w:style>
  <w:style w:type="character" w:customStyle="1" w:styleId="26">
    <w:name w:val="正文文本缩进 Char"/>
    <w:link w:val="27"/>
    <w:uiPriority w:val="0"/>
    <w:rPr>
      <w:rFonts w:ascii="宋体" w:cs="宋体"/>
      <w:sz w:val="24"/>
      <w:szCs w:val="24"/>
    </w:rPr>
  </w:style>
  <w:style w:type="paragraph" w:customStyle="1" w:styleId="27">
    <w:name w:val="正文文本缩进1"/>
    <w:basedOn w:val="1"/>
    <w:link w:val="26"/>
    <w:qFormat/>
    <w:uiPriority w:val="0"/>
    <w:pPr>
      <w:snapToGrid w:val="0"/>
      <w:spacing w:line="360" w:lineRule="auto"/>
      <w:ind w:firstLine="420"/>
    </w:pPr>
    <w:rPr>
      <w:rFonts w:cs="Times New Roman"/>
      <w:kern w:val="0"/>
    </w:rPr>
  </w:style>
  <w:style w:type="character" w:customStyle="1" w:styleId="28">
    <w:name w:val="页眉 Char1"/>
    <w:qFormat/>
    <w:uiPriority w:val="0"/>
    <w:rPr>
      <w:rFonts w:ascii="宋体" w:eastAsia="宋体" w:cs="宋体"/>
      <w:kern w:val="2"/>
      <w:sz w:val="18"/>
      <w:szCs w:val="18"/>
      <w:lang w:val="en-US" w:eastAsia="zh-CN"/>
    </w:rPr>
  </w:style>
  <w:style w:type="character" w:customStyle="1" w:styleId="29">
    <w:name w:val="日期 Char"/>
    <w:link w:val="30"/>
    <w:qFormat/>
    <w:uiPriority w:val="0"/>
    <w:rPr>
      <w:rFonts w:ascii="宋体" w:cs="宋体"/>
      <w:sz w:val="24"/>
      <w:szCs w:val="24"/>
    </w:rPr>
  </w:style>
  <w:style w:type="paragraph" w:customStyle="1" w:styleId="30">
    <w:name w:val="日期1"/>
    <w:basedOn w:val="1"/>
    <w:next w:val="1"/>
    <w:link w:val="29"/>
    <w:uiPriority w:val="0"/>
    <w:pPr>
      <w:ind w:left="100" w:leftChars="2500"/>
    </w:pPr>
    <w:rPr>
      <w:rFonts w:cs="Times New Roman"/>
      <w:kern w:val="0"/>
    </w:rPr>
  </w:style>
  <w:style w:type="character" w:customStyle="1" w:styleId="31">
    <w:name w:val="正文文本缩进 2 Char"/>
    <w:link w:val="32"/>
    <w:uiPriority w:val="0"/>
    <w:rPr>
      <w:rFonts w:ascii="宋体" w:cs="宋体"/>
      <w:sz w:val="24"/>
      <w:szCs w:val="24"/>
    </w:rPr>
  </w:style>
  <w:style w:type="paragraph" w:customStyle="1" w:styleId="32">
    <w:name w:val="正文文本缩进 21"/>
    <w:basedOn w:val="1"/>
    <w:link w:val="31"/>
    <w:uiPriority w:val="0"/>
    <w:pPr>
      <w:spacing w:after="120" w:line="480" w:lineRule="auto"/>
      <w:ind w:left="420" w:leftChars="200"/>
    </w:pPr>
    <w:rPr>
      <w:rFonts w:cs="Times New Roman"/>
      <w:kern w:val="0"/>
    </w:rPr>
  </w:style>
  <w:style w:type="character" w:customStyle="1" w:styleId="33">
    <w:name w:val="标题 1 字符"/>
    <w:link w:val="2"/>
    <w:qFormat/>
    <w:uiPriority w:val="0"/>
    <w:rPr>
      <w:rFonts w:ascii="宋体" w:eastAsia="宋体" w:cs="宋体"/>
      <w:b/>
      <w:bCs/>
      <w:kern w:val="44"/>
      <w:sz w:val="44"/>
      <w:szCs w:val="44"/>
      <w:lang w:val="en-US" w:eastAsia="zh-CN"/>
    </w:rPr>
  </w:style>
  <w:style w:type="character" w:customStyle="1" w:styleId="34">
    <w:name w:val="批注文字 字符"/>
    <w:link w:val="5"/>
    <w:qFormat/>
    <w:uiPriority w:val="0"/>
    <w:rPr>
      <w:rFonts w:ascii="宋体" w:cs="宋体"/>
      <w:kern w:val="2"/>
      <w:sz w:val="24"/>
      <w:szCs w:val="24"/>
    </w:rPr>
  </w:style>
  <w:style w:type="character" w:customStyle="1" w:styleId="35">
    <w:name w:val="批注主题 Char"/>
    <w:link w:val="36"/>
    <w:qFormat/>
    <w:uiPriority w:val="0"/>
    <w:rPr>
      <w:rFonts w:ascii="宋体" w:cs="宋体"/>
      <w:b/>
      <w:bCs/>
      <w:kern w:val="2"/>
      <w:sz w:val="24"/>
      <w:szCs w:val="24"/>
    </w:rPr>
  </w:style>
  <w:style w:type="paragraph" w:customStyle="1" w:styleId="36">
    <w:name w:val="批注主题1"/>
    <w:basedOn w:val="5"/>
    <w:next w:val="5"/>
    <w:link w:val="35"/>
    <w:uiPriority w:val="0"/>
    <w:rPr>
      <w:b/>
      <w:bCs/>
    </w:rPr>
  </w:style>
  <w:style w:type="character" w:customStyle="1" w:styleId="37">
    <w:name w:val="页眉 字符"/>
    <w:link w:val="12"/>
    <w:qFormat/>
    <w:uiPriority w:val="0"/>
    <w:rPr>
      <w:rFonts w:ascii="宋体" w:cs="宋体"/>
      <w:kern w:val="2"/>
      <w:sz w:val="18"/>
      <w:szCs w:val="18"/>
    </w:rPr>
  </w:style>
  <w:style w:type="character" w:customStyle="1" w:styleId="38">
    <w:name w:val="批注引用1"/>
    <w:qFormat/>
    <w:uiPriority w:val="0"/>
    <w:rPr>
      <w:sz w:val="21"/>
      <w:szCs w:val="21"/>
    </w:rPr>
  </w:style>
  <w:style w:type="character" w:customStyle="1" w:styleId="39">
    <w:name w:val="SOP body Char"/>
    <w:link w:val="40"/>
    <w:qFormat/>
    <w:uiPriority w:val="0"/>
    <w:rPr>
      <w:rFonts w:ascii="Arial" w:hAnsi="Arial" w:cs="Arial"/>
      <w:szCs w:val="24"/>
      <w:lang w:val="en-GB" w:eastAsia="en-US"/>
    </w:rPr>
  </w:style>
  <w:style w:type="paragraph" w:customStyle="1" w:styleId="40">
    <w:name w:val="SOP body"/>
    <w:basedOn w:val="1"/>
    <w:link w:val="39"/>
    <w:uiPriority w:val="0"/>
    <w:pPr>
      <w:widowControl/>
      <w:numPr>
        <w:ilvl w:val="0"/>
        <w:numId w:val="1"/>
      </w:numPr>
      <w:tabs>
        <w:tab w:val="left" w:pos="567"/>
        <w:tab w:val="left" w:pos="1208"/>
      </w:tabs>
      <w:spacing w:line="312" w:lineRule="auto"/>
    </w:pPr>
    <w:rPr>
      <w:rFonts w:ascii="Arial" w:hAnsi="Arial" w:cs="Times New Roman"/>
      <w:kern w:val="0"/>
      <w:sz w:val="20"/>
      <w:lang w:val="en-GB" w:eastAsia="en-US"/>
    </w:rPr>
  </w:style>
  <w:style w:type="character" w:customStyle="1" w:styleId="41">
    <w:name w:val="apple-converted-space"/>
    <w:basedOn w:val="15"/>
    <w:uiPriority w:val="0"/>
  </w:style>
  <w:style w:type="paragraph" w:customStyle="1" w:styleId="42">
    <w:name w:val="缺省文本"/>
    <w:basedOn w:val="1"/>
    <w:uiPriority w:val="0"/>
    <w:pPr>
      <w:autoSpaceDE w:val="0"/>
      <w:autoSpaceDN w:val="0"/>
      <w:adjustRightInd w:val="0"/>
      <w:jc w:val="left"/>
    </w:pPr>
    <w:rPr>
      <w:rFonts w:ascii="Times New Roman" w:cs="Times New Roman"/>
      <w:kern w:val="0"/>
    </w:rPr>
  </w:style>
  <w:style w:type="paragraph" w:customStyle="1" w:styleId="4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List Paragraph"/>
    <w:basedOn w:val="1"/>
    <w:qFormat/>
    <w:uiPriority w:val="34"/>
    <w:pPr>
      <w:ind w:firstLine="420" w:firstLineChars="200"/>
    </w:pPr>
  </w:style>
  <w:style w:type="paragraph" w:customStyle="1" w:styleId="45">
    <w:name w:val="Default Text"/>
    <w:basedOn w:val="1"/>
    <w:uiPriority w:val="0"/>
    <w:pPr>
      <w:autoSpaceDE w:val="0"/>
      <w:autoSpaceDN w:val="0"/>
      <w:adjustRightInd w:val="0"/>
      <w:jc w:val="left"/>
    </w:pPr>
    <w:rPr>
      <w:rFonts w:ascii="Times New Roman" w:cs="Times New Roman"/>
      <w:kern w:val="0"/>
    </w:rPr>
  </w:style>
  <w:style w:type="paragraph" w:customStyle="1" w:styleId="46">
    <w:name w:val="样式1"/>
    <w:basedOn w:val="1"/>
    <w:uiPriority w:val="0"/>
    <w:pPr>
      <w:numPr>
        <w:ilvl w:val="0"/>
        <w:numId w:val="2"/>
      </w:numPr>
      <w:tabs>
        <w:tab w:val="left" w:pos="0"/>
        <w:tab w:val="left" w:pos="425"/>
      </w:tabs>
      <w:adjustRightInd w:val="0"/>
      <w:snapToGrid w:val="0"/>
      <w:spacing w:line="360" w:lineRule="auto"/>
    </w:pPr>
    <w:rPr>
      <w:rFonts w:ascii="Arial" w:hAnsi="Arial" w:cs="Times New Roman"/>
      <w:szCs w:val="20"/>
    </w:rPr>
  </w:style>
  <w:style w:type="paragraph" w:customStyle="1" w:styleId="47">
    <w:name w:val="SOP body 1"/>
    <w:basedOn w:val="40"/>
    <w:uiPriority w:val="0"/>
    <w:pPr>
      <w:numPr>
        <w:ilvl w:val="2"/>
      </w:numPr>
      <w:tabs>
        <w:tab w:val="left" w:pos="1580"/>
        <w:tab w:val="left" w:pos="1930"/>
      </w:tabs>
    </w:pPr>
  </w:style>
  <w:style w:type="paragraph" w:customStyle="1" w:styleId="48">
    <w:name w:val="正文缩进1"/>
    <w:basedOn w:val="1"/>
    <w:uiPriority w:val="0"/>
    <w:pPr>
      <w:adjustRightInd w:val="0"/>
      <w:snapToGrid w:val="0"/>
      <w:spacing w:line="360" w:lineRule="atLeast"/>
      <w:ind w:firstLine="420"/>
      <w:textAlignment w:val="baseline"/>
    </w:pPr>
    <w:rPr>
      <w:rFonts w:ascii="Times New Roman" w:eastAsia="黑体" w:cs="Times New Roman"/>
      <w:kern w:val="0"/>
      <w:sz w:val="21"/>
      <w:szCs w:val="21"/>
    </w:rPr>
  </w:style>
  <w:style w:type="character" w:customStyle="1" w:styleId="49">
    <w:name w:val="标题 2 字符"/>
    <w:basedOn w:val="15"/>
    <w:link w:val="3"/>
    <w:qFormat/>
    <w:uiPriority w:val="0"/>
    <w:rPr>
      <w:rFonts w:asciiTheme="majorHAnsi" w:hAnsiTheme="majorHAnsi" w:eastAsiaTheme="majorEastAsia" w:cstheme="majorBidi"/>
      <w:b/>
      <w:bCs/>
      <w:kern w:val="2"/>
      <w:sz w:val="32"/>
      <w:szCs w:val="32"/>
    </w:rPr>
  </w:style>
  <w:style w:type="paragraph" w:customStyle="1" w:styleId="50">
    <w:name w:val="正文文本缩进2"/>
    <w:basedOn w:val="1"/>
    <w:qFormat/>
    <w:uiPriority w:val="0"/>
    <w:pPr>
      <w:snapToGrid w:val="0"/>
      <w:spacing w:line="360" w:lineRule="auto"/>
      <w:ind w:firstLine="420"/>
    </w:pPr>
    <w:rPr>
      <w:rFonts w:cs="Times New Roman"/>
      <w:kern w:val="0"/>
    </w:rPr>
  </w:style>
  <w:style w:type="paragraph" w:customStyle="1" w:styleId="51">
    <w:name w:val="reader-word-layer reader-word-s3-8"/>
    <w:basedOn w:val="1"/>
    <w:qFormat/>
    <w:uiPriority w:val="0"/>
    <w:pPr>
      <w:widowControl/>
      <w:spacing w:before="100" w:beforeAutospacing="1" w:after="100" w:afterAutospacing="1"/>
      <w:jc w:val="left"/>
    </w:pPr>
    <w:rPr>
      <w:rFonts w:hAnsi="宋体"/>
      <w:kern w:val="0"/>
    </w:rPr>
  </w:style>
  <w:style w:type="character" w:customStyle="1" w:styleId="52">
    <w:name w:val="正文文本缩进 3 字符"/>
    <w:basedOn w:val="15"/>
    <w:link w:val="14"/>
    <w:qFormat/>
    <w:uiPriority w:val="0"/>
    <w:rPr>
      <w:kern w:val="2"/>
      <w:sz w:val="16"/>
      <w:szCs w:val="16"/>
    </w:rPr>
  </w:style>
  <w:style w:type="character" w:customStyle="1" w:styleId="53">
    <w:name w:val="Text Char Char"/>
    <w:link w:val="54"/>
    <w:qFormat/>
    <w:uiPriority w:val="0"/>
    <w:rPr>
      <w:kern w:val="2"/>
      <w:sz w:val="24"/>
      <w:lang w:eastAsia="en-US"/>
    </w:rPr>
  </w:style>
  <w:style w:type="paragraph" w:customStyle="1" w:styleId="54">
    <w:name w:val="Text"/>
    <w:basedOn w:val="1"/>
    <w:link w:val="53"/>
    <w:qFormat/>
    <w:uiPriority w:val="0"/>
    <w:pPr>
      <w:spacing w:before="120"/>
    </w:pPr>
    <w:rPr>
      <w:rFonts w:ascii="Times New Roman" w:cs="Times New Roman"/>
      <w:szCs w:val="20"/>
      <w:lang w:eastAsia="en-US"/>
    </w:rPr>
  </w:style>
  <w:style w:type="character" w:customStyle="1" w:styleId="55">
    <w:name w:val="纯文本 字符"/>
    <w:basedOn w:val="15"/>
    <w:link w:val="6"/>
    <w:qFormat/>
    <w:uiPriority w:val="0"/>
    <w:rPr>
      <w:rFonts w:ascii="宋体" w:hAnsi="Courier New" w:cs="Courier New"/>
      <w:kern w:val="2"/>
      <w:sz w:val="21"/>
      <w:szCs w:val="21"/>
    </w:rPr>
  </w:style>
  <w:style w:type="paragraph" w:customStyle="1" w:styleId="56">
    <w:name w:val="Heading Left"/>
    <w:basedOn w:val="1"/>
    <w:qFormat/>
    <w:uiPriority w:val="0"/>
    <w:pPr>
      <w:widowControl/>
      <w:tabs>
        <w:tab w:val="center" w:pos="4820"/>
        <w:tab w:val="right" w:pos="9639"/>
      </w:tabs>
      <w:spacing w:before="120" w:after="120" w:line="360" w:lineRule="auto"/>
      <w:jc w:val="left"/>
    </w:pPr>
    <w:rPr>
      <w:rFonts w:ascii="Arial" w:hAnsi="Arial" w:cs="Times New Roman"/>
      <w:b/>
      <w:caps/>
      <w:kern w:val="0"/>
      <w:szCs w:val="20"/>
      <w:lang w:val="en-GB" w:eastAsia="en-US"/>
    </w:rPr>
  </w:style>
  <w:style w:type="character" w:customStyle="1" w:styleId="57">
    <w:name w:val="尾注文本 字符"/>
    <w:basedOn w:val="15"/>
    <w:link w:val="9"/>
    <w:qFormat/>
    <w:uiPriority w:val="0"/>
    <w:rPr>
      <w:kern w:val="2"/>
      <w:sz w:val="21"/>
    </w:rPr>
  </w:style>
  <w:style w:type="paragraph" w:customStyle="1" w:styleId="58">
    <w:name w:val="样式 正文缩进 + 宋体"/>
    <w:basedOn w:val="4"/>
    <w:qFormat/>
    <w:uiPriority w:val="0"/>
    <w:pPr>
      <w:ind w:firstLine="200"/>
    </w:pPr>
    <w:rPr>
      <w:rFonts w:hAnsi="宋体" w:cs="Times New Roman"/>
    </w:rPr>
  </w:style>
  <w:style w:type="paragraph" w:customStyle="1" w:styleId="59">
    <w:name w:val="Titel2"/>
    <w:basedOn w:val="1"/>
    <w:qFormat/>
    <w:uiPriority w:val="0"/>
    <w:pPr>
      <w:widowControl/>
      <w:jc w:val="center"/>
    </w:pPr>
    <w:rPr>
      <w:rFonts w:ascii="Arial" w:hAnsi="Arial" w:cs="Arial"/>
      <w:snapToGrid w:val="0"/>
      <w:sz w:val="44"/>
      <w:szCs w:val="22"/>
      <w:lang w:val="en-GB" w:eastAsia="de-DE"/>
    </w:rPr>
  </w:style>
  <w:style w:type="character" w:customStyle="1" w:styleId="60">
    <w:name w:val="Text Char"/>
    <w:qFormat/>
    <w:locked/>
    <w:uiPriority w:val="0"/>
    <w:rPr>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E0ECF-C015-416F-9D5B-041FDC6BE8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877</Words>
  <Characters>4999</Characters>
  <Lines>41</Lines>
  <Paragraphs>11</Paragraphs>
  <TotalTime>0</TotalTime>
  <ScaleCrop>false</ScaleCrop>
  <LinksUpToDate>false</LinksUpToDate>
  <CharactersWithSpaces>5865</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2022-06-15T08:13:00Z</dcterms:created>
  <dc:creator>Administrator</dc:creator>
  <cp:lastModifiedBy>13913</cp:lastModifiedBy>
  <cp:lastPrinted>2021-03-03T03:23:00Z</cp:lastPrinted>
  <dcterms:modified xsi:type="dcterms:W3CDTF">2024-03-09T02:38:54Z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